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DC733" w14:textId="77777777" w:rsidR="006E5119" w:rsidRPr="006E5119" w:rsidRDefault="00A95A08" w:rsidP="006E5119">
      <w:pPr>
        <w:tabs>
          <w:tab w:val="left" w:pos="3544"/>
          <w:tab w:val="left" w:pos="6804"/>
        </w:tabs>
        <w:spacing w:after="120" w:line="240" w:lineRule="auto"/>
        <w:jc w:val="both"/>
        <w:rPr>
          <w:rFonts w:ascii="Arial" w:eastAsia="Times New Roman" w:hAnsi="Arial" w:cs="Times New Roman"/>
          <w:szCs w:val="24"/>
          <w:lang w:val="de-CH"/>
        </w:rPr>
      </w:pPr>
      <w:r>
        <w:rPr>
          <w:rFonts w:ascii="Arial" w:eastAsia="Times New Roman" w:hAnsi="Arial" w:cs="Times New Roman"/>
          <w:noProof/>
          <w:szCs w:val="24"/>
        </w:rPr>
        <w:drawing>
          <wp:inline distT="0" distB="0" distL="0" distR="0" wp14:anchorId="14A2DA4B" wp14:editId="469D35C1">
            <wp:extent cx="1624965" cy="429260"/>
            <wp:effectExtent l="0" t="0" r="0" b="8890"/>
            <wp:docPr id="3" name="Picture 3" descr="Logo Helv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Helve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965" cy="429260"/>
                    </a:xfrm>
                    <a:prstGeom prst="rect">
                      <a:avLst/>
                    </a:prstGeom>
                    <a:noFill/>
                    <a:ln>
                      <a:noFill/>
                    </a:ln>
                  </pic:spPr>
                </pic:pic>
              </a:graphicData>
            </a:graphic>
          </wp:inline>
        </w:drawing>
      </w:r>
      <w:r w:rsidRPr="00A95A08">
        <w:rPr>
          <w:rFonts w:ascii="Arial" w:eastAsia="Times New Roman" w:hAnsi="Arial" w:cs="Times New Roman"/>
          <w:szCs w:val="24"/>
          <w:lang w:val="de-CH"/>
        </w:rPr>
        <w:tab/>
      </w:r>
      <w:r>
        <w:rPr>
          <w:rFonts w:ascii="Arial" w:eastAsia="Times New Roman" w:hAnsi="Arial" w:cs="Times New Roman"/>
          <w:noProof/>
          <w:szCs w:val="24"/>
        </w:rPr>
        <w:drawing>
          <wp:inline distT="0" distB="0" distL="0" distR="0" wp14:anchorId="18240408" wp14:editId="38BB755B">
            <wp:extent cx="795020" cy="393700"/>
            <wp:effectExtent l="0" t="0" r="5080" b="6350"/>
            <wp:docPr id="2" name="Picture 2" descr="Logo dl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ld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020" cy="393700"/>
                    </a:xfrm>
                    <a:prstGeom prst="rect">
                      <a:avLst/>
                    </a:prstGeom>
                    <a:noFill/>
                    <a:ln>
                      <a:noFill/>
                    </a:ln>
                  </pic:spPr>
                </pic:pic>
              </a:graphicData>
            </a:graphic>
          </wp:inline>
        </w:drawing>
      </w:r>
      <w:r w:rsidRPr="00A95A08">
        <w:rPr>
          <w:rFonts w:ascii="Arial" w:eastAsia="Times New Roman" w:hAnsi="Arial" w:cs="Times New Roman"/>
          <w:szCs w:val="24"/>
          <w:lang w:val="de-CH"/>
        </w:rPr>
        <w:tab/>
      </w:r>
      <w:r>
        <w:rPr>
          <w:rFonts w:ascii="Arial" w:eastAsia="Times New Roman" w:hAnsi="Arial" w:cs="Times New Roman"/>
          <w:noProof/>
          <w:szCs w:val="24"/>
        </w:rPr>
        <w:drawing>
          <wp:inline distT="0" distB="0" distL="0" distR="0" wp14:anchorId="0A9204B8" wp14:editId="1ECBC676">
            <wp:extent cx="1097280" cy="478155"/>
            <wp:effectExtent l="0" t="0" r="7620" b="0"/>
            <wp:docPr id="1" name="Picture 1" descr="Logo Sw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wi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478155"/>
                    </a:xfrm>
                    <a:prstGeom prst="rect">
                      <a:avLst/>
                    </a:prstGeom>
                    <a:noFill/>
                    <a:ln>
                      <a:noFill/>
                    </a:ln>
                  </pic:spPr>
                </pic:pic>
              </a:graphicData>
            </a:graphic>
          </wp:inline>
        </w:drawing>
      </w:r>
    </w:p>
    <w:p w14:paraId="1E1FA208" w14:textId="77777777" w:rsidR="006E5119" w:rsidRDefault="006E5119" w:rsidP="006E5119"/>
    <w:p w14:paraId="3E97D0B7" w14:textId="77777777" w:rsidR="006E5119" w:rsidRPr="006E5119" w:rsidRDefault="006E5119" w:rsidP="006E5119"/>
    <w:p w14:paraId="612EE514" w14:textId="77777777" w:rsidR="006E5119" w:rsidRPr="006E5119" w:rsidRDefault="006E5119" w:rsidP="006E5119"/>
    <w:p w14:paraId="5F171FFB" w14:textId="77777777" w:rsidR="006E5119" w:rsidRPr="006E5119" w:rsidRDefault="006E5119" w:rsidP="006E5119"/>
    <w:p w14:paraId="1532D9B8" w14:textId="77777777" w:rsidR="006E5119" w:rsidRDefault="006E5119" w:rsidP="006E5119">
      <w:pPr>
        <w:spacing w:before="120"/>
        <w:jc w:val="both"/>
        <w:rPr>
          <w:rFonts w:cs="Times New Roman"/>
        </w:rPr>
      </w:pPr>
    </w:p>
    <w:p w14:paraId="5AD73325" w14:textId="77777777" w:rsidR="006E5119" w:rsidRDefault="006E5119" w:rsidP="006E5119">
      <w:pPr>
        <w:spacing w:before="120"/>
        <w:jc w:val="both"/>
        <w:rPr>
          <w:rFonts w:cs="Times New Roman"/>
        </w:rPr>
      </w:pPr>
    </w:p>
    <w:p w14:paraId="0CD20157" w14:textId="77777777" w:rsidR="006E5119" w:rsidRDefault="006E5119" w:rsidP="006E5119">
      <w:pPr>
        <w:spacing w:before="120"/>
        <w:jc w:val="both"/>
        <w:rPr>
          <w:rFonts w:cs="Times New Roman"/>
        </w:rPr>
      </w:pPr>
    </w:p>
    <w:p w14:paraId="6F8A137C" w14:textId="77777777" w:rsidR="006E5119" w:rsidRDefault="003C6C97" w:rsidP="003C6C97">
      <w:pPr>
        <w:pStyle w:val="Title"/>
        <w:jc w:val="both"/>
        <w:rPr>
          <w:rFonts w:cs="Times New Roman"/>
        </w:rPr>
      </w:pPr>
      <w:r w:rsidRPr="003C6C97">
        <w:rPr>
          <w:rFonts w:asciiTheme="minorHAnsi" w:hAnsiTheme="minorHAnsi"/>
        </w:rPr>
        <w:t>Revenue</w:t>
      </w:r>
      <w:r>
        <w:rPr>
          <w:rFonts w:cs="Times New Roman"/>
        </w:rPr>
        <w:t xml:space="preserve"> Predictability and Sustainability of Local Governments in Albania</w:t>
      </w:r>
    </w:p>
    <w:p w14:paraId="1F1A74AF" w14:textId="77777777" w:rsidR="006E5119" w:rsidRDefault="006E5119" w:rsidP="006E5119">
      <w:pPr>
        <w:spacing w:before="120"/>
        <w:jc w:val="both"/>
        <w:rPr>
          <w:rFonts w:cs="Times New Roman"/>
        </w:rPr>
      </w:pPr>
    </w:p>
    <w:p w14:paraId="54FB2222" w14:textId="77777777" w:rsidR="006E5119" w:rsidRDefault="006E5119" w:rsidP="006E5119">
      <w:pPr>
        <w:spacing w:before="120"/>
        <w:jc w:val="both"/>
        <w:rPr>
          <w:rFonts w:cs="Times New Roman"/>
        </w:rPr>
      </w:pPr>
    </w:p>
    <w:p w14:paraId="415953E9" w14:textId="77777777" w:rsidR="006E5119" w:rsidRDefault="006E5119" w:rsidP="006E5119">
      <w:pPr>
        <w:spacing w:before="120"/>
        <w:jc w:val="both"/>
        <w:rPr>
          <w:rFonts w:cs="Times New Roman"/>
        </w:rPr>
      </w:pPr>
    </w:p>
    <w:p w14:paraId="1AF4D828" w14:textId="77777777" w:rsidR="006E5119" w:rsidRDefault="006E5119" w:rsidP="006E5119">
      <w:pPr>
        <w:spacing w:before="120"/>
        <w:jc w:val="both"/>
        <w:rPr>
          <w:rFonts w:cs="Times New Roman"/>
        </w:rPr>
      </w:pPr>
    </w:p>
    <w:p w14:paraId="3E152716" w14:textId="77777777" w:rsidR="006E5119" w:rsidRDefault="006E5119" w:rsidP="006E5119">
      <w:pPr>
        <w:spacing w:before="120"/>
        <w:jc w:val="both"/>
        <w:rPr>
          <w:rFonts w:cs="Times New Roman"/>
        </w:rPr>
      </w:pPr>
    </w:p>
    <w:p w14:paraId="4C894571" w14:textId="77777777" w:rsidR="006E5119" w:rsidRDefault="006E5119" w:rsidP="006E5119">
      <w:pPr>
        <w:spacing w:before="120"/>
        <w:jc w:val="both"/>
        <w:rPr>
          <w:rFonts w:cs="Times New Roman"/>
        </w:rPr>
      </w:pPr>
    </w:p>
    <w:p w14:paraId="4939E0B5" w14:textId="77777777" w:rsidR="006E5119" w:rsidRDefault="006E5119" w:rsidP="006E5119">
      <w:pPr>
        <w:spacing w:before="120"/>
        <w:jc w:val="center"/>
        <w:rPr>
          <w:rFonts w:cs="Times New Roman"/>
        </w:rPr>
      </w:pPr>
    </w:p>
    <w:p w14:paraId="4C6E65BB" w14:textId="77777777" w:rsidR="006E5119" w:rsidRDefault="006E5119" w:rsidP="006E5119">
      <w:pPr>
        <w:spacing w:before="120"/>
        <w:jc w:val="center"/>
        <w:rPr>
          <w:rFonts w:cs="Times New Roman"/>
        </w:rPr>
      </w:pPr>
    </w:p>
    <w:p w14:paraId="424198F1" w14:textId="77777777" w:rsidR="006E5119" w:rsidRDefault="006E5119" w:rsidP="006E5119">
      <w:pPr>
        <w:spacing w:before="120"/>
        <w:jc w:val="center"/>
        <w:rPr>
          <w:rFonts w:cs="Times New Roman"/>
        </w:rPr>
      </w:pPr>
    </w:p>
    <w:p w14:paraId="69951F81" w14:textId="77777777" w:rsidR="006E5119" w:rsidRDefault="006E5119" w:rsidP="006E5119">
      <w:pPr>
        <w:spacing w:before="120"/>
        <w:jc w:val="center"/>
        <w:rPr>
          <w:rFonts w:cs="Times New Roman"/>
        </w:rPr>
      </w:pPr>
    </w:p>
    <w:p w14:paraId="18E67C6B" w14:textId="77777777" w:rsidR="006E5119" w:rsidRDefault="006E5119" w:rsidP="006E5119">
      <w:pPr>
        <w:spacing w:before="120"/>
        <w:jc w:val="center"/>
        <w:rPr>
          <w:rFonts w:cs="Times New Roman"/>
        </w:rPr>
      </w:pPr>
    </w:p>
    <w:p w14:paraId="5D3FE591" w14:textId="77777777" w:rsidR="006E5119" w:rsidRDefault="006E5119" w:rsidP="006E5119">
      <w:pPr>
        <w:spacing w:before="120"/>
        <w:jc w:val="center"/>
        <w:rPr>
          <w:rFonts w:cs="Times New Roman"/>
        </w:rPr>
      </w:pPr>
      <w:r>
        <w:rPr>
          <w:rFonts w:cs="Times New Roman"/>
        </w:rPr>
        <w:t>February 2014</w:t>
      </w:r>
    </w:p>
    <w:p w14:paraId="7756DD90" w14:textId="77777777" w:rsidR="006E5119" w:rsidRDefault="006E5119" w:rsidP="006E5119">
      <w:pPr>
        <w:spacing w:before="120"/>
        <w:jc w:val="both"/>
        <w:rPr>
          <w:rFonts w:cs="Times New Roman"/>
        </w:rPr>
        <w:sectPr w:rsidR="006E5119" w:rsidSect="006E5119">
          <w:footerReference w:type="even" r:id="rId11"/>
          <w:footerReference w:type="default" r:id="rId12"/>
          <w:pgSz w:w="12240" w:h="15840"/>
          <w:pgMar w:top="1440" w:right="1440" w:bottom="1440" w:left="1440" w:header="720" w:footer="720" w:gutter="0"/>
          <w:cols w:space="720"/>
          <w:titlePg/>
          <w:docGrid w:linePitch="360"/>
        </w:sectPr>
      </w:pPr>
    </w:p>
    <w:p w14:paraId="5A7EE11C" w14:textId="77777777" w:rsidR="003C6C97" w:rsidRDefault="003C6C97" w:rsidP="006E5119">
      <w:pPr>
        <w:spacing w:before="120"/>
        <w:jc w:val="both"/>
        <w:rPr>
          <w:rFonts w:cs="Times New Roman"/>
        </w:rPr>
      </w:pPr>
      <w:r>
        <w:rPr>
          <w:rFonts w:cs="Times New Roman"/>
        </w:rPr>
        <w:lastRenderedPageBreak/>
        <w:t>Acknowledgments</w:t>
      </w:r>
    </w:p>
    <w:p w14:paraId="508EDC7E" w14:textId="77777777" w:rsidR="006E5119" w:rsidRPr="00F31385" w:rsidRDefault="003C6C97" w:rsidP="006E5119">
      <w:pPr>
        <w:spacing w:before="120"/>
        <w:jc w:val="both"/>
        <w:rPr>
          <w:rFonts w:cs="Times New Roman"/>
        </w:rPr>
      </w:pPr>
      <w:proofErr w:type="gramStart"/>
      <w:r>
        <w:rPr>
          <w:rFonts w:cs="Times New Roman"/>
        </w:rPr>
        <w:t xml:space="preserve">This note was prepared by Sabina </w:t>
      </w:r>
      <w:proofErr w:type="spellStart"/>
      <w:r>
        <w:rPr>
          <w:rFonts w:cs="Times New Roman"/>
        </w:rPr>
        <w:t>Ymeri</w:t>
      </w:r>
      <w:proofErr w:type="spellEnd"/>
      <w:proofErr w:type="gramEnd"/>
      <w:r>
        <w:rPr>
          <w:rFonts w:cs="Times New Roman"/>
        </w:rPr>
        <w:t xml:space="preserve">, with methodological support by Stefan </w:t>
      </w:r>
      <w:proofErr w:type="spellStart"/>
      <w:r>
        <w:rPr>
          <w:rFonts w:cs="Times New Roman"/>
        </w:rPr>
        <w:t>Pfaeffli</w:t>
      </w:r>
      <w:proofErr w:type="spellEnd"/>
      <w:r>
        <w:rPr>
          <w:rFonts w:cs="Times New Roman"/>
        </w:rPr>
        <w:t xml:space="preserve"> (</w:t>
      </w:r>
      <w:proofErr w:type="spellStart"/>
      <w:r>
        <w:rPr>
          <w:rFonts w:cs="Times New Roman"/>
        </w:rPr>
        <w:t>HSLU</w:t>
      </w:r>
      <w:proofErr w:type="spellEnd"/>
      <w:r>
        <w:rPr>
          <w:rFonts w:cs="Times New Roman"/>
        </w:rPr>
        <w:t xml:space="preserve">) and </w:t>
      </w:r>
      <w:proofErr w:type="spellStart"/>
      <w:r>
        <w:rPr>
          <w:rFonts w:cs="Times New Roman"/>
        </w:rPr>
        <w:t>Valbona</w:t>
      </w:r>
      <w:proofErr w:type="spellEnd"/>
      <w:r>
        <w:rPr>
          <w:rFonts w:cs="Times New Roman"/>
        </w:rPr>
        <w:t xml:space="preserve"> </w:t>
      </w:r>
      <w:proofErr w:type="spellStart"/>
      <w:r>
        <w:rPr>
          <w:rFonts w:cs="Times New Roman"/>
        </w:rPr>
        <w:t>Karakaci</w:t>
      </w:r>
      <w:proofErr w:type="spellEnd"/>
      <w:r>
        <w:rPr>
          <w:rFonts w:cs="Times New Roman"/>
        </w:rPr>
        <w:t xml:space="preserve"> (</w:t>
      </w:r>
      <w:proofErr w:type="spellStart"/>
      <w:r>
        <w:rPr>
          <w:rFonts w:cs="Times New Roman"/>
        </w:rPr>
        <w:t>DLDP</w:t>
      </w:r>
      <w:proofErr w:type="spellEnd"/>
      <w:r>
        <w:rPr>
          <w:rFonts w:cs="Times New Roman"/>
        </w:rPr>
        <w:t xml:space="preserve">). </w:t>
      </w:r>
      <w:proofErr w:type="gramStart"/>
      <w:r>
        <w:rPr>
          <w:rFonts w:cs="Times New Roman"/>
        </w:rPr>
        <w:t xml:space="preserve">Management support was provided by Elvin </w:t>
      </w:r>
      <w:proofErr w:type="spellStart"/>
      <w:r>
        <w:rPr>
          <w:rFonts w:cs="Times New Roman"/>
        </w:rPr>
        <w:t>Hoxha</w:t>
      </w:r>
      <w:proofErr w:type="spellEnd"/>
      <w:r>
        <w:rPr>
          <w:rFonts w:cs="Times New Roman"/>
        </w:rPr>
        <w:t xml:space="preserve"> (</w:t>
      </w:r>
      <w:proofErr w:type="spellStart"/>
      <w:r>
        <w:rPr>
          <w:rFonts w:cs="Times New Roman"/>
        </w:rPr>
        <w:t>DLDP</w:t>
      </w:r>
      <w:proofErr w:type="spellEnd"/>
      <w:r>
        <w:rPr>
          <w:rFonts w:cs="Times New Roman"/>
        </w:rPr>
        <w:t>)</w:t>
      </w:r>
      <w:proofErr w:type="gramEnd"/>
      <w:r>
        <w:rPr>
          <w:rFonts w:cs="Times New Roman"/>
        </w:rPr>
        <w:t>.</w:t>
      </w:r>
    </w:p>
    <w:p w14:paraId="13ADA824" w14:textId="77777777" w:rsidR="006E5119" w:rsidRPr="00F31385" w:rsidRDefault="006E5119" w:rsidP="006E5119">
      <w:pPr>
        <w:spacing w:before="120"/>
        <w:jc w:val="both"/>
        <w:rPr>
          <w:rFonts w:cs="Times New Roman"/>
        </w:rPr>
      </w:pPr>
    </w:p>
    <w:p w14:paraId="081822CE" w14:textId="77777777" w:rsidR="003C6C97" w:rsidRDefault="003C6C97" w:rsidP="006E5119">
      <w:pPr>
        <w:spacing w:before="120"/>
        <w:jc w:val="both"/>
        <w:rPr>
          <w:rFonts w:cs="Times New Roman"/>
        </w:rPr>
        <w:sectPr w:rsidR="003C6C97">
          <w:pgSz w:w="12240" w:h="15840"/>
          <w:pgMar w:top="1440" w:right="1440" w:bottom="1440" w:left="1440" w:header="720" w:footer="720" w:gutter="0"/>
          <w:cols w:space="720"/>
          <w:docGrid w:linePitch="360"/>
        </w:sectPr>
      </w:pPr>
    </w:p>
    <w:p w14:paraId="20FBF561" w14:textId="77777777" w:rsidR="006E5119" w:rsidRPr="00F31385" w:rsidRDefault="006E5119" w:rsidP="006E5119">
      <w:pPr>
        <w:spacing w:before="120"/>
        <w:jc w:val="both"/>
        <w:rPr>
          <w:rFonts w:cs="Times New Roman"/>
        </w:rPr>
      </w:pPr>
    </w:p>
    <w:p w14:paraId="7D015B15" w14:textId="77777777" w:rsidR="006E5119" w:rsidRPr="00F31385" w:rsidRDefault="003C6C97" w:rsidP="006E5119">
      <w:pPr>
        <w:spacing w:before="120"/>
        <w:jc w:val="both"/>
        <w:rPr>
          <w:rFonts w:cs="Times New Roman"/>
          <w:b/>
        </w:rPr>
      </w:pPr>
      <w:r>
        <w:rPr>
          <w:rFonts w:cs="Times New Roman"/>
          <w:b/>
        </w:rPr>
        <w:t xml:space="preserve">Table of </w:t>
      </w:r>
      <w:r w:rsidR="006E5119" w:rsidRPr="00F31385">
        <w:rPr>
          <w:rFonts w:cs="Times New Roman"/>
          <w:b/>
        </w:rPr>
        <w:t>Content</w:t>
      </w:r>
      <w:r>
        <w:rPr>
          <w:rFonts w:cs="Times New Roman"/>
          <w:b/>
        </w:rPr>
        <w:t>s</w:t>
      </w:r>
    </w:p>
    <w:p w14:paraId="38103475" w14:textId="77777777" w:rsidR="006E5119" w:rsidRPr="00F31385" w:rsidRDefault="006E5119" w:rsidP="006E5119">
      <w:pPr>
        <w:spacing w:before="120"/>
        <w:jc w:val="both"/>
        <w:rPr>
          <w:rFonts w:cs="Times New Roman"/>
        </w:rPr>
      </w:pPr>
    </w:p>
    <w:p w14:paraId="235005AA" w14:textId="77777777" w:rsidR="00AB0AAB" w:rsidRDefault="006E5119">
      <w:pPr>
        <w:pStyle w:val="TOC1"/>
        <w:tabs>
          <w:tab w:val="right" w:leader="dot" w:pos="9350"/>
        </w:tabs>
        <w:rPr>
          <w:noProof/>
          <w:sz w:val="24"/>
          <w:szCs w:val="24"/>
          <w:lang w:val="en-US" w:eastAsia="ja-JP"/>
        </w:rPr>
      </w:pPr>
      <w:r w:rsidRPr="00F31385">
        <w:rPr>
          <w:rFonts w:cs="Times New Roman"/>
        </w:rPr>
        <w:fldChar w:fldCharType="begin"/>
      </w:r>
      <w:r w:rsidRPr="00E848A7">
        <w:rPr>
          <w:rFonts w:cs="Times New Roman"/>
          <w:lang w:val="en-GB"/>
        </w:rPr>
        <w:instrText xml:space="preserve"> TOC \o "1-3" \h \z \u </w:instrText>
      </w:r>
      <w:r w:rsidRPr="00F31385">
        <w:rPr>
          <w:rFonts w:cs="Times New Roman"/>
        </w:rPr>
        <w:fldChar w:fldCharType="separate"/>
      </w:r>
      <w:r w:rsidR="00AB0AAB" w:rsidRPr="00AA6983">
        <w:rPr>
          <w:noProof/>
        </w:rPr>
        <w:t>1 Introduction</w:t>
      </w:r>
      <w:r w:rsidR="00AB0AAB">
        <w:rPr>
          <w:noProof/>
        </w:rPr>
        <w:tab/>
      </w:r>
      <w:r w:rsidR="00AB0AAB">
        <w:rPr>
          <w:noProof/>
        </w:rPr>
        <w:fldChar w:fldCharType="begin"/>
      </w:r>
      <w:r w:rsidR="00AB0AAB">
        <w:rPr>
          <w:noProof/>
        </w:rPr>
        <w:instrText xml:space="preserve"> PAGEREF _Toc253791335 \h </w:instrText>
      </w:r>
      <w:r w:rsidR="00AB0AAB">
        <w:rPr>
          <w:noProof/>
        </w:rPr>
      </w:r>
      <w:r w:rsidR="00AB0AAB">
        <w:rPr>
          <w:noProof/>
        </w:rPr>
        <w:fldChar w:fldCharType="separate"/>
      </w:r>
      <w:r w:rsidR="00AB0AAB">
        <w:rPr>
          <w:noProof/>
        </w:rPr>
        <w:t>4</w:t>
      </w:r>
      <w:r w:rsidR="00AB0AAB">
        <w:rPr>
          <w:noProof/>
        </w:rPr>
        <w:fldChar w:fldCharType="end"/>
      </w:r>
    </w:p>
    <w:p w14:paraId="4FF60B92" w14:textId="77777777" w:rsidR="00AB0AAB" w:rsidRDefault="00AB0AAB">
      <w:pPr>
        <w:pStyle w:val="TOC1"/>
        <w:tabs>
          <w:tab w:val="right" w:leader="dot" w:pos="9350"/>
        </w:tabs>
        <w:rPr>
          <w:noProof/>
          <w:sz w:val="24"/>
          <w:szCs w:val="24"/>
          <w:lang w:val="en-US" w:eastAsia="ja-JP"/>
        </w:rPr>
      </w:pPr>
      <w:r w:rsidRPr="00AA6983">
        <w:rPr>
          <w:noProof/>
          <w:lang w:val="en-GB"/>
        </w:rPr>
        <w:t>2 The relevance of well managed public revenue system</w:t>
      </w:r>
      <w:r>
        <w:rPr>
          <w:noProof/>
        </w:rPr>
        <w:tab/>
      </w:r>
      <w:r>
        <w:rPr>
          <w:noProof/>
        </w:rPr>
        <w:fldChar w:fldCharType="begin"/>
      </w:r>
      <w:r>
        <w:rPr>
          <w:noProof/>
        </w:rPr>
        <w:instrText xml:space="preserve"> PAGEREF _Toc253791336 \h </w:instrText>
      </w:r>
      <w:r>
        <w:rPr>
          <w:noProof/>
        </w:rPr>
      </w:r>
      <w:r>
        <w:rPr>
          <w:noProof/>
        </w:rPr>
        <w:fldChar w:fldCharType="separate"/>
      </w:r>
      <w:r>
        <w:rPr>
          <w:noProof/>
        </w:rPr>
        <w:t>7</w:t>
      </w:r>
      <w:r>
        <w:rPr>
          <w:noProof/>
        </w:rPr>
        <w:fldChar w:fldCharType="end"/>
      </w:r>
    </w:p>
    <w:p w14:paraId="2D26BE73" w14:textId="77777777" w:rsidR="00AB0AAB" w:rsidRDefault="00AB0AAB">
      <w:pPr>
        <w:pStyle w:val="TOC2"/>
        <w:rPr>
          <w:noProof/>
          <w:sz w:val="24"/>
          <w:szCs w:val="24"/>
          <w:lang w:val="en-US" w:eastAsia="ja-JP"/>
        </w:rPr>
      </w:pPr>
      <w:r w:rsidRPr="00AA6983">
        <w:rPr>
          <w:noProof/>
          <w:lang w:val="en-GB"/>
        </w:rPr>
        <w:t>2.1 Guarantee for service delivery and development</w:t>
      </w:r>
      <w:r>
        <w:rPr>
          <w:noProof/>
        </w:rPr>
        <w:tab/>
      </w:r>
      <w:r>
        <w:rPr>
          <w:noProof/>
        </w:rPr>
        <w:fldChar w:fldCharType="begin"/>
      </w:r>
      <w:r>
        <w:rPr>
          <w:noProof/>
        </w:rPr>
        <w:instrText xml:space="preserve"> PAGEREF _Toc253791337 \h </w:instrText>
      </w:r>
      <w:r>
        <w:rPr>
          <w:noProof/>
        </w:rPr>
      </w:r>
      <w:r>
        <w:rPr>
          <w:noProof/>
        </w:rPr>
        <w:fldChar w:fldCharType="separate"/>
      </w:r>
      <w:r>
        <w:rPr>
          <w:noProof/>
        </w:rPr>
        <w:t>7</w:t>
      </w:r>
      <w:r>
        <w:rPr>
          <w:noProof/>
        </w:rPr>
        <w:fldChar w:fldCharType="end"/>
      </w:r>
    </w:p>
    <w:p w14:paraId="42651685" w14:textId="77777777" w:rsidR="00AB0AAB" w:rsidRDefault="00AB0AAB">
      <w:pPr>
        <w:pStyle w:val="TOC2"/>
        <w:rPr>
          <w:noProof/>
          <w:sz w:val="24"/>
          <w:szCs w:val="24"/>
          <w:lang w:val="en-US" w:eastAsia="ja-JP"/>
        </w:rPr>
      </w:pPr>
      <w:r>
        <w:rPr>
          <w:noProof/>
        </w:rPr>
        <w:t>2.2 Guiding principles for intergovernmental transfers</w:t>
      </w:r>
      <w:r>
        <w:rPr>
          <w:noProof/>
        </w:rPr>
        <w:tab/>
      </w:r>
      <w:r>
        <w:rPr>
          <w:noProof/>
        </w:rPr>
        <w:fldChar w:fldCharType="begin"/>
      </w:r>
      <w:r>
        <w:rPr>
          <w:noProof/>
        </w:rPr>
        <w:instrText xml:space="preserve"> PAGEREF _Toc253791338 \h </w:instrText>
      </w:r>
      <w:r>
        <w:rPr>
          <w:noProof/>
        </w:rPr>
      </w:r>
      <w:r>
        <w:rPr>
          <w:noProof/>
        </w:rPr>
        <w:fldChar w:fldCharType="separate"/>
      </w:r>
      <w:r>
        <w:rPr>
          <w:noProof/>
        </w:rPr>
        <w:t>8</w:t>
      </w:r>
      <w:r>
        <w:rPr>
          <w:noProof/>
        </w:rPr>
        <w:fldChar w:fldCharType="end"/>
      </w:r>
    </w:p>
    <w:p w14:paraId="3B1DD6DD" w14:textId="77777777" w:rsidR="00AB0AAB" w:rsidRDefault="00AB0AAB">
      <w:pPr>
        <w:pStyle w:val="TOC2"/>
        <w:rPr>
          <w:noProof/>
          <w:sz w:val="24"/>
          <w:szCs w:val="24"/>
          <w:lang w:val="en-US" w:eastAsia="ja-JP"/>
        </w:rPr>
      </w:pPr>
      <w:r>
        <w:rPr>
          <w:noProof/>
        </w:rPr>
        <w:t>2.3 The issue of revenue adequacy</w:t>
      </w:r>
      <w:r>
        <w:rPr>
          <w:noProof/>
        </w:rPr>
        <w:tab/>
      </w:r>
      <w:r>
        <w:rPr>
          <w:noProof/>
        </w:rPr>
        <w:fldChar w:fldCharType="begin"/>
      </w:r>
      <w:r>
        <w:rPr>
          <w:noProof/>
        </w:rPr>
        <w:instrText xml:space="preserve"> PAGEREF _Toc253791339 \h </w:instrText>
      </w:r>
      <w:r>
        <w:rPr>
          <w:noProof/>
        </w:rPr>
      </w:r>
      <w:r>
        <w:rPr>
          <w:noProof/>
        </w:rPr>
        <w:fldChar w:fldCharType="separate"/>
      </w:r>
      <w:r>
        <w:rPr>
          <w:noProof/>
        </w:rPr>
        <w:t>9</w:t>
      </w:r>
      <w:r>
        <w:rPr>
          <w:noProof/>
        </w:rPr>
        <w:fldChar w:fldCharType="end"/>
      </w:r>
    </w:p>
    <w:p w14:paraId="02C8C15E" w14:textId="77777777" w:rsidR="00AB0AAB" w:rsidRDefault="00AB0AAB">
      <w:pPr>
        <w:pStyle w:val="TOC2"/>
        <w:rPr>
          <w:noProof/>
          <w:sz w:val="24"/>
          <w:szCs w:val="24"/>
          <w:lang w:val="en-US" w:eastAsia="ja-JP"/>
        </w:rPr>
      </w:pPr>
      <w:r w:rsidRPr="00AA6983">
        <w:rPr>
          <w:noProof/>
          <w:lang w:val="en-GB"/>
        </w:rPr>
        <w:t>2.4 The key role of revenue estimation for budget credibility</w:t>
      </w:r>
      <w:r>
        <w:rPr>
          <w:noProof/>
        </w:rPr>
        <w:tab/>
      </w:r>
      <w:r>
        <w:rPr>
          <w:noProof/>
        </w:rPr>
        <w:fldChar w:fldCharType="begin"/>
      </w:r>
      <w:r>
        <w:rPr>
          <w:noProof/>
        </w:rPr>
        <w:instrText xml:space="preserve"> PAGEREF _Toc253791340 \h </w:instrText>
      </w:r>
      <w:r>
        <w:rPr>
          <w:noProof/>
        </w:rPr>
      </w:r>
      <w:r>
        <w:rPr>
          <w:noProof/>
        </w:rPr>
        <w:fldChar w:fldCharType="separate"/>
      </w:r>
      <w:r>
        <w:rPr>
          <w:noProof/>
        </w:rPr>
        <w:t>9</w:t>
      </w:r>
      <w:r>
        <w:rPr>
          <w:noProof/>
        </w:rPr>
        <w:fldChar w:fldCharType="end"/>
      </w:r>
    </w:p>
    <w:p w14:paraId="6AAEE7E5" w14:textId="77777777" w:rsidR="00AB0AAB" w:rsidRDefault="00AB0AAB">
      <w:pPr>
        <w:pStyle w:val="TOC2"/>
        <w:rPr>
          <w:noProof/>
          <w:sz w:val="24"/>
          <w:szCs w:val="24"/>
          <w:lang w:val="en-US" w:eastAsia="ja-JP"/>
        </w:rPr>
      </w:pPr>
      <w:r w:rsidRPr="00AA6983">
        <w:rPr>
          <w:noProof/>
        </w:rPr>
        <w:t>2.5 Quality aspects of a public revenue system</w:t>
      </w:r>
      <w:r>
        <w:rPr>
          <w:noProof/>
        </w:rPr>
        <w:tab/>
      </w:r>
      <w:r>
        <w:rPr>
          <w:noProof/>
        </w:rPr>
        <w:fldChar w:fldCharType="begin"/>
      </w:r>
      <w:r>
        <w:rPr>
          <w:noProof/>
        </w:rPr>
        <w:instrText xml:space="preserve"> PAGEREF _Toc253791341 \h </w:instrText>
      </w:r>
      <w:r>
        <w:rPr>
          <w:noProof/>
        </w:rPr>
      </w:r>
      <w:r>
        <w:rPr>
          <w:noProof/>
        </w:rPr>
        <w:fldChar w:fldCharType="separate"/>
      </w:r>
      <w:r>
        <w:rPr>
          <w:noProof/>
        </w:rPr>
        <w:t>10</w:t>
      </w:r>
      <w:r>
        <w:rPr>
          <w:noProof/>
        </w:rPr>
        <w:fldChar w:fldCharType="end"/>
      </w:r>
    </w:p>
    <w:p w14:paraId="5303379A" w14:textId="77777777" w:rsidR="00AB0AAB" w:rsidRDefault="00AB0AAB">
      <w:pPr>
        <w:pStyle w:val="TOC1"/>
        <w:tabs>
          <w:tab w:val="right" w:leader="dot" w:pos="9350"/>
        </w:tabs>
        <w:rPr>
          <w:noProof/>
          <w:sz w:val="24"/>
          <w:szCs w:val="24"/>
          <w:lang w:val="en-US" w:eastAsia="ja-JP"/>
        </w:rPr>
      </w:pPr>
      <w:r w:rsidRPr="00AA6983">
        <w:rPr>
          <w:noProof/>
          <w:lang w:val="en-GB"/>
        </w:rPr>
        <w:t>3 Development of revenues since 2008</w:t>
      </w:r>
      <w:r>
        <w:rPr>
          <w:noProof/>
        </w:rPr>
        <w:tab/>
      </w:r>
      <w:r>
        <w:rPr>
          <w:noProof/>
        </w:rPr>
        <w:fldChar w:fldCharType="begin"/>
      </w:r>
      <w:r>
        <w:rPr>
          <w:noProof/>
        </w:rPr>
        <w:instrText xml:space="preserve"> PAGEREF _Toc253791342 \h </w:instrText>
      </w:r>
      <w:r>
        <w:rPr>
          <w:noProof/>
        </w:rPr>
      </w:r>
      <w:r>
        <w:rPr>
          <w:noProof/>
        </w:rPr>
        <w:fldChar w:fldCharType="separate"/>
      </w:r>
      <w:r>
        <w:rPr>
          <w:noProof/>
        </w:rPr>
        <w:t>11</w:t>
      </w:r>
      <w:r>
        <w:rPr>
          <w:noProof/>
        </w:rPr>
        <w:fldChar w:fldCharType="end"/>
      </w:r>
    </w:p>
    <w:p w14:paraId="3D78DFA5" w14:textId="77777777" w:rsidR="00AB0AAB" w:rsidRDefault="00AB0AAB">
      <w:pPr>
        <w:pStyle w:val="TOC2"/>
        <w:rPr>
          <w:noProof/>
          <w:sz w:val="24"/>
          <w:szCs w:val="24"/>
          <w:lang w:val="en-US" w:eastAsia="ja-JP"/>
        </w:rPr>
      </w:pPr>
      <w:r w:rsidRPr="00AA6983">
        <w:rPr>
          <w:noProof/>
          <w:lang w:val="en-GB"/>
        </w:rPr>
        <w:t>3.1 R</w:t>
      </w:r>
      <w:r w:rsidRPr="00AA6983">
        <w:rPr>
          <w:noProof/>
        </w:rPr>
        <w:t>evenue assignment</w:t>
      </w:r>
      <w:r>
        <w:rPr>
          <w:noProof/>
        </w:rPr>
        <w:tab/>
      </w:r>
      <w:r>
        <w:rPr>
          <w:noProof/>
        </w:rPr>
        <w:fldChar w:fldCharType="begin"/>
      </w:r>
      <w:r>
        <w:rPr>
          <w:noProof/>
        </w:rPr>
        <w:instrText xml:space="preserve"> PAGEREF _Toc253791343 \h </w:instrText>
      </w:r>
      <w:r>
        <w:rPr>
          <w:noProof/>
        </w:rPr>
      </w:r>
      <w:r>
        <w:rPr>
          <w:noProof/>
        </w:rPr>
        <w:fldChar w:fldCharType="separate"/>
      </w:r>
      <w:r>
        <w:rPr>
          <w:noProof/>
        </w:rPr>
        <w:t>11</w:t>
      </w:r>
      <w:r>
        <w:rPr>
          <w:noProof/>
        </w:rPr>
        <w:fldChar w:fldCharType="end"/>
      </w:r>
    </w:p>
    <w:p w14:paraId="61288878" w14:textId="77777777" w:rsidR="00AB0AAB" w:rsidRDefault="00AB0AAB">
      <w:pPr>
        <w:pStyle w:val="TOC2"/>
        <w:rPr>
          <w:noProof/>
          <w:sz w:val="24"/>
          <w:szCs w:val="24"/>
          <w:lang w:val="en-US" w:eastAsia="ja-JP"/>
        </w:rPr>
      </w:pPr>
      <w:r w:rsidRPr="00AA6983">
        <w:rPr>
          <w:noProof/>
        </w:rPr>
        <w:t>3.2 Development of LGU revenues in total</w:t>
      </w:r>
      <w:r>
        <w:rPr>
          <w:noProof/>
        </w:rPr>
        <w:tab/>
      </w:r>
      <w:r>
        <w:rPr>
          <w:noProof/>
        </w:rPr>
        <w:fldChar w:fldCharType="begin"/>
      </w:r>
      <w:r>
        <w:rPr>
          <w:noProof/>
        </w:rPr>
        <w:instrText xml:space="preserve"> PAGEREF _Toc253791344 \h </w:instrText>
      </w:r>
      <w:r>
        <w:rPr>
          <w:noProof/>
        </w:rPr>
      </w:r>
      <w:r>
        <w:rPr>
          <w:noProof/>
        </w:rPr>
        <w:fldChar w:fldCharType="separate"/>
      </w:r>
      <w:r>
        <w:rPr>
          <w:noProof/>
        </w:rPr>
        <w:t>12</w:t>
      </w:r>
      <w:r>
        <w:rPr>
          <w:noProof/>
        </w:rPr>
        <w:fldChar w:fldCharType="end"/>
      </w:r>
    </w:p>
    <w:p w14:paraId="6B084107" w14:textId="77777777" w:rsidR="00AB0AAB" w:rsidRDefault="00AB0AAB">
      <w:pPr>
        <w:pStyle w:val="TOC2"/>
        <w:rPr>
          <w:noProof/>
          <w:sz w:val="24"/>
          <w:szCs w:val="24"/>
          <w:lang w:val="en-US" w:eastAsia="ja-JP"/>
        </w:rPr>
      </w:pPr>
      <w:r w:rsidRPr="00AA6983">
        <w:rPr>
          <w:noProof/>
        </w:rPr>
        <w:t>3.3 Disparities in local per capita revenues</w:t>
      </w:r>
      <w:r>
        <w:rPr>
          <w:noProof/>
        </w:rPr>
        <w:tab/>
      </w:r>
      <w:r>
        <w:rPr>
          <w:noProof/>
        </w:rPr>
        <w:fldChar w:fldCharType="begin"/>
      </w:r>
      <w:r>
        <w:rPr>
          <w:noProof/>
        </w:rPr>
        <w:instrText xml:space="preserve"> PAGEREF _Toc253791345 \h </w:instrText>
      </w:r>
      <w:r>
        <w:rPr>
          <w:noProof/>
        </w:rPr>
      </w:r>
      <w:r>
        <w:rPr>
          <w:noProof/>
        </w:rPr>
        <w:fldChar w:fldCharType="separate"/>
      </w:r>
      <w:r>
        <w:rPr>
          <w:noProof/>
        </w:rPr>
        <w:t>13</w:t>
      </w:r>
      <w:r>
        <w:rPr>
          <w:noProof/>
        </w:rPr>
        <w:fldChar w:fldCharType="end"/>
      </w:r>
    </w:p>
    <w:p w14:paraId="36B396CA" w14:textId="77777777" w:rsidR="00AB0AAB" w:rsidRDefault="00AB0AAB">
      <w:pPr>
        <w:pStyle w:val="TOC2"/>
        <w:rPr>
          <w:noProof/>
          <w:sz w:val="24"/>
          <w:szCs w:val="24"/>
          <w:lang w:val="en-US" w:eastAsia="ja-JP"/>
        </w:rPr>
      </w:pPr>
      <w:r w:rsidRPr="00AA6983">
        <w:rPr>
          <w:noProof/>
        </w:rPr>
        <w:t>3.4 Development of own revenues</w:t>
      </w:r>
      <w:r>
        <w:rPr>
          <w:noProof/>
        </w:rPr>
        <w:tab/>
      </w:r>
      <w:r>
        <w:rPr>
          <w:noProof/>
        </w:rPr>
        <w:fldChar w:fldCharType="begin"/>
      </w:r>
      <w:r>
        <w:rPr>
          <w:noProof/>
        </w:rPr>
        <w:instrText xml:space="preserve"> PAGEREF _Toc253791346 \h </w:instrText>
      </w:r>
      <w:r>
        <w:rPr>
          <w:noProof/>
        </w:rPr>
      </w:r>
      <w:r>
        <w:rPr>
          <w:noProof/>
        </w:rPr>
        <w:fldChar w:fldCharType="separate"/>
      </w:r>
      <w:r>
        <w:rPr>
          <w:noProof/>
        </w:rPr>
        <w:t>15</w:t>
      </w:r>
      <w:r>
        <w:rPr>
          <w:noProof/>
        </w:rPr>
        <w:fldChar w:fldCharType="end"/>
      </w:r>
    </w:p>
    <w:p w14:paraId="22AC96EE" w14:textId="77777777" w:rsidR="00AB0AAB" w:rsidRDefault="00AB0AAB">
      <w:pPr>
        <w:pStyle w:val="TOC1"/>
        <w:tabs>
          <w:tab w:val="right" w:leader="dot" w:pos="9350"/>
        </w:tabs>
        <w:rPr>
          <w:noProof/>
          <w:sz w:val="24"/>
          <w:szCs w:val="24"/>
          <w:lang w:val="en-US" w:eastAsia="ja-JP"/>
        </w:rPr>
      </w:pPr>
      <w:r w:rsidRPr="00AA6983">
        <w:rPr>
          <w:noProof/>
        </w:rPr>
        <w:t>4 The system of transfers</w:t>
      </w:r>
      <w:r>
        <w:rPr>
          <w:noProof/>
        </w:rPr>
        <w:tab/>
      </w:r>
      <w:r>
        <w:rPr>
          <w:noProof/>
        </w:rPr>
        <w:fldChar w:fldCharType="begin"/>
      </w:r>
      <w:r>
        <w:rPr>
          <w:noProof/>
        </w:rPr>
        <w:instrText xml:space="preserve"> PAGEREF _Toc253791347 \h </w:instrText>
      </w:r>
      <w:r>
        <w:rPr>
          <w:noProof/>
        </w:rPr>
      </w:r>
      <w:r>
        <w:rPr>
          <w:noProof/>
        </w:rPr>
        <w:fldChar w:fldCharType="separate"/>
      </w:r>
      <w:r>
        <w:rPr>
          <w:noProof/>
        </w:rPr>
        <w:t>24</w:t>
      </w:r>
      <w:r>
        <w:rPr>
          <w:noProof/>
        </w:rPr>
        <w:fldChar w:fldCharType="end"/>
      </w:r>
    </w:p>
    <w:p w14:paraId="5226F03E" w14:textId="77777777" w:rsidR="00AB0AAB" w:rsidRDefault="00AB0AAB">
      <w:pPr>
        <w:pStyle w:val="TOC2"/>
        <w:rPr>
          <w:noProof/>
          <w:sz w:val="24"/>
          <w:szCs w:val="24"/>
          <w:lang w:val="en-US" w:eastAsia="ja-JP"/>
        </w:rPr>
      </w:pPr>
      <w:r w:rsidRPr="00AA6983">
        <w:rPr>
          <w:noProof/>
        </w:rPr>
        <w:t>4.1 Unconditional transfer and formula allocation</w:t>
      </w:r>
      <w:r>
        <w:rPr>
          <w:noProof/>
        </w:rPr>
        <w:tab/>
      </w:r>
      <w:r>
        <w:rPr>
          <w:noProof/>
        </w:rPr>
        <w:fldChar w:fldCharType="begin"/>
      </w:r>
      <w:r>
        <w:rPr>
          <w:noProof/>
        </w:rPr>
        <w:instrText xml:space="preserve"> PAGEREF _Toc253791348 \h </w:instrText>
      </w:r>
      <w:r>
        <w:rPr>
          <w:noProof/>
        </w:rPr>
      </w:r>
      <w:r>
        <w:rPr>
          <w:noProof/>
        </w:rPr>
        <w:fldChar w:fldCharType="separate"/>
      </w:r>
      <w:r>
        <w:rPr>
          <w:noProof/>
        </w:rPr>
        <w:t>24</w:t>
      </w:r>
      <w:r>
        <w:rPr>
          <w:noProof/>
        </w:rPr>
        <w:fldChar w:fldCharType="end"/>
      </w:r>
    </w:p>
    <w:p w14:paraId="3ADB54D0" w14:textId="77777777" w:rsidR="00AB0AAB" w:rsidRDefault="00AB0AAB">
      <w:pPr>
        <w:pStyle w:val="TOC2"/>
        <w:rPr>
          <w:noProof/>
          <w:sz w:val="24"/>
          <w:szCs w:val="24"/>
          <w:lang w:val="en-US" w:eastAsia="ja-JP"/>
        </w:rPr>
      </w:pPr>
      <w:r w:rsidRPr="00AA6983">
        <w:rPr>
          <w:noProof/>
        </w:rPr>
        <w:t>4.2 Conditional grants</w:t>
      </w:r>
      <w:r>
        <w:rPr>
          <w:noProof/>
        </w:rPr>
        <w:tab/>
      </w:r>
      <w:r>
        <w:rPr>
          <w:noProof/>
        </w:rPr>
        <w:fldChar w:fldCharType="begin"/>
      </w:r>
      <w:r>
        <w:rPr>
          <w:noProof/>
        </w:rPr>
        <w:instrText xml:space="preserve"> PAGEREF _Toc253791349 \h </w:instrText>
      </w:r>
      <w:r>
        <w:rPr>
          <w:noProof/>
        </w:rPr>
      </w:r>
      <w:r>
        <w:rPr>
          <w:noProof/>
        </w:rPr>
        <w:fldChar w:fldCharType="separate"/>
      </w:r>
      <w:r>
        <w:rPr>
          <w:noProof/>
        </w:rPr>
        <w:t>26</w:t>
      </w:r>
      <w:r>
        <w:rPr>
          <w:noProof/>
        </w:rPr>
        <w:fldChar w:fldCharType="end"/>
      </w:r>
    </w:p>
    <w:p w14:paraId="0B5184AF" w14:textId="77777777" w:rsidR="00AB0AAB" w:rsidRDefault="00AB0AAB">
      <w:pPr>
        <w:pStyle w:val="TOC2"/>
        <w:rPr>
          <w:noProof/>
          <w:sz w:val="24"/>
          <w:szCs w:val="24"/>
          <w:lang w:val="en-US" w:eastAsia="ja-JP"/>
        </w:rPr>
      </w:pPr>
      <w:r w:rsidRPr="00AA6983">
        <w:rPr>
          <w:noProof/>
        </w:rPr>
        <w:t>4.3 Competitive grants (Regional Development Fund)</w:t>
      </w:r>
      <w:r>
        <w:rPr>
          <w:noProof/>
        </w:rPr>
        <w:tab/>
      </w:r>
      <w:r>
        <w:rPr>
          <w:noProof/>
        </w:rPr>
        <w:fldChar w:fldCharType="begin"/>
      </w:r>
      <w:r>
        <w:rPr>
          <w:noProof/>
        </w:rPr>
        <w:instrText xml:space="preserve"> PAGEREF _Toc253791350 \h </w:instrText>
      </w:r>
      <w:r>
        <w:rPr>
          <w:noProof/>
        </w:rPr>
      </w:r>
      <w:r>
        <w:rPr>
          <w:noProof/>
        </w:rPr>
        <w:fldChar w:fldCharType="separate"/>
      </w:r>
      <w:r>
        <w:rPr>
          <w:noProof/>
        </w:rPr>
        <w:t>27</w:t>
      </w:r>
      <w:r>
        <w:rPr>
          <w:noProof/>
        </w:rPr>
        <w:fldChar w:fldCharType="end"/>
      </w:r>
    </w:p>
    <w:p w14:paraId="515BEE3D" w14:textId="77777777" w:rsidR="00AB0AAB" w:rsidRDefault="00AB0AAB">
      <w:pPr>
        <w:pStyle w:val="TOC1"/>
        <w:tabs>
          <w:tab w:val="right" w:leader="dot" w:pos="9350"/>
        </w:tabs>
        <w:rPr>
          <w:noProof/>
          <w:sz w:val="24"/>
          <w:szCs w:val="24"/>
          <w:lang w:val="en-US" w:eastAsia="ja-JP"/>
        </w:rPr>
      </w:pPr>
      <w:r w:rsidRPr="00AA6983">
        <w:rPr>
          <w:noProof/>
        </w:rPr>
        <w:t>5 Budget credibility – planned vs. actual revenues</w:t>
      </w:r>
      <w:r>
        <w:rPr>
          <w:noProof/>
        </w:rPr>
        <w:tab/>
      </w:r>
      <w:r>
        <w:rPr>
          <w:noProof/>
        </w:rPr>
        <w:fldChar w:fldCharType="begin"/>
      </w:r>
      <w:r>
        <w:rPr>
          <w:noProof/>
        </w:rPr>
        <w:instrText xml:space="preserve"> PAGEREF _Toc253791351 \h </w:instrText>
      </w:r>
      <w:r>
        <w:rPr>
          <w:noProof/>
        </w:rPr>
      </w:r>
      <w:r>
        <w:rPr>
          <w:noProof/>
        </w:rPr>
        <w:fldChar w:fldCharType="separate"/>
      </w:r>
      <w:r>
        <w:rPr>
          <w:noProof/>
        </w:rPr>
        <w:t>29</w:t>
      </w:r>
      <w:r>
        <w:rPr>
          <w:noProof/>
        </w:rPr>
        <w:fldChar w:fldCharType="end"/>
      </w:r>
    </w:p>
    <w:p w14:paraId="4ECF6AA2" w14:textId="77777777" w:rsidR="00AB0AAB" w:rsidRDefault="00AB0AAB">
      <w:pPr>
        <w:pStyle w:val="TOC1"/>
        <w:tabs>
          <w:tab w:val="right" w:leader="dot" w:pos="9350"/>
        </w:tabs>
        <w:rPr>
          <w:noProof/>
          <w:sz w:val="24"/>
          <w:szCs w:val="24"/>
          <w:lang w:val="en-US" w:eastAsia="ja-JP"/>
        </w:rPr>
      </w:pPr>
      <w:r w:rsidRPr="00AA6983">
        <w:rPr>
          <w:noProof/>
        </w:rPr>
        <w:t>7 Conclusions/Recommendations</w:t>
      </w:r>
      <w:r>
        <w:rPr>
          <w:noProof/>
        </w:rPr>
        <w:tab/>
      </w:r>
      <w:r>
        <w:rPr>
          <w:noProof/>
        </w:rPr>
        <w:fldChar w:fldCharType="begin"/>
      </w:r>
      <w:r>
        <w:rPr>
          <w:noProof/>
        </w:rPr>
        <w:instrText xml:space="preserve"> PAGEREF _Toc253791352 \h </w:instrText>
      </w:r>
      <w:r>
        <w:rPr>
          <w:noProof/>
        </w:rPr>
      </w:r>
      <w:r>
        <w:rPr>
          <w:noProof/>
        </w:rPr>
        <w:fldChar w:fldCharType="separate"/>
      </w:r>
      <w:r>
        <w:rPr>
          <w:noProof/>
        </w:rPr>
        <w:t>32</w:t>
      </w:r>
      <w:r>
        <w:rPr>
          <w:noProof/>
        </w:rPr>
        <w:fldChar w:fldCharType="end"/>
      </w:r>
    </w:p>
    <w:p w14:paraId="063AA5D7" w14:textId="32D4D993" w:rsidR="00AB0AAB" w:rsidRDefault="00AB0AAB">
      <w:pPr>
        <w:pStyle w:val="TOC1"/>
        <w:tabs>
          <w:tab w:val="right" w:leader="dot" w:pos="9350"/>
        </w:tabs>
        <w:rPr>
          <w:noProof/>
          <w:sz w:val="24"/>
          <w:szCs w:val="24"/>
          <w:lang w:val="en-US" w:eastAsia="ja-JP"/>
        </w:rPr>
      </w:pPr>
      <w:bookmarkStart w:id="0" w:name="_GoBack"/>
      <w:bookmarkEnd w:id="0"/>
    </w:p>
    <w:p w14:paraId="26426692" w14:textId="77777777" w:rsidR="006E5119" w:rsidRPr="00F31385" w:rsidRDefault="006E5119" w:rsidP="006E5119">
      <w:pPr>
        <w:spacing w:before="120"/>
        <w:jc w:val="both"/>
        <w:rPr>
          <w:rFonts w:cs="Times New Roman"/>
        </w:rPr>
      </w:pPr>
      <w:r w:rsidRPr="00F31385">
        <w:rPr>
          <w:rFonts w:cs="Times New Roman"/>
        </w:rPr>
        <w:fldChar w:fldCharType="end"/>
      </w:r>
    </w:p>
    <w:p w14:paraId="5C65A8E2" w14:textId="77777777" w:rsidR="006E5119" w:rsidRPr="00E848A7" w:rsidRDefault="006E5119" w:rsidP="006E5119">
      <w:pPr>
        <w:spacing w:before="120"/>
        <w:jc w:val="both"/>
        <w:rPr>
          <w:rFonts w:cs="Times New Roman"/>
          <w:lang w:val="en-GB"/>
        </w:rPr>
      </w:pPr>
    </w:p>
    <w:p w14:paraId="430CC8A2" w14:textId="77777777" w:rsidR="006E5119" w:rsidRPr="00F31385" w:rsidRDefault="006E5119" w:rsidP="006E5119">
      <w:pPr>
        <w:jc w:val="both"/>
        <w:rPr>
          <w:rFonts w:eastAsiaTheme="majorEastAsia" w:cstheme="majorBidi"/>
          <w:b/>
          <w:bCs/>
          <w:color w:val="365F91" w:themeColor="accent1" w:themeShade="BF"/>
          <w:sz w:val="28"/>
          <w:szCs w:val="28"/>
        </w:rPr>
      </w:pPr>
      <w:r w:rsidRPr="00F31385">
        <w:br w:type="page"/>
      </w:r>
    </w:p>
    <w:p w14:paraId="5C79C338" w14:textId="77777777" w:rsidR="006E5119" w:rsidRPr="00F31385" w:rsidRDefault="006E5119" w:rsidP="006E5119">
      <w:pPr>
        <w:pStyle w:val="Heading1"/>
        <w:jc w:val="both"/>
        <w:rPr>
          <w:rFonts w:asciiTheme="minorHAnsi" w:hAnsiTheme="minorHAnsi"/>
        </w:rPr>
      </w:pPr>
      <w:bookmarkStart w:id="1" w:name="_Toc253791335"/>
      <w:r w:rsidRPr="00F31385">
        <w:rPr>
          <w:rFonts w:asciiTheme="minorHAnsi" w:hAnsiTheme="minorHAnsi"/>
        </w:rPr>
        <w:lastRenderedPageBreak/>
        <w:t>1 Introduction</w:t>
      </w:r>
      <w:bookmarkEnd w:id="1"/>
    </w:p>
    <w:p w14:paraId="4643296A" w14:textId="77777777" w:rsidR="006E5119" w:rsidRPr="00F31385" w:rsidRDefault="006E5119" w:rsidP="006E5119">
      <w:pPr>
        <w:spacing w:before="120"/>
        <w:jc w:val="both"/>
        <w:rPr>
          <w:rFonts w:cs="Times New Roman"/>
        </w:rPr>
      </w:pPr>
    </w:p>
    <w:p w14:paraId="19989AD5" w14:textId="77777777" w:rsidR="006E5119" w:rsidRPr="00F31385" w:rsidRDefault="006E5119" w:rsidP="006E5119">
      <w:pPr>
        <w:jc w:val="both"/>
        <w:rPr>
          <w:rFonts w:cs="Times New Roman"/>
        </w:rPr>
      </w:pPr>
      <w:r w:rsidRPr="00F31385">
        <w:rPr>
          <w:rFonts w:cs="Times New Roman"/>
        </w:rPr>
        <w:t>The terms of reference for this report outline in details the desired structure of report and reference data to be taken into account and analyzed. The goal of this report is to explore the predictability and stability of local government revenues in Albania, identify patterns in revenue assignments and possible impacts of structural changes in the intergovernmental tax system.</w:t>
      </w:r>
    </w:p>
    <w:p w14:paraId="0E789042" w14:textId="77777777" w:rsidR="006E5119" w:rsidRPr="00F31385" w:rsidRDefault="006E5119" w:rsidP="006E5119">
      <w:pPr>
        <w:jc w:val="both"/>
        <w:rPr>
          <w:rFonts w:cs="Times New Roman"/>
        </w:rPr>
      </w:pPr>
      <w:r w:rsidRPr="00F31385">
        <w:rPr>
          <w:rFonts w:cs="Times New Roman"/>
        </w:rPr>
        <w:t xml:space="preserve">A sample of at least 13% of first tier local government units was selected for purposes of this analysis. This includes 48 local government units, of which 27 are municipalities. Capital Tirana and the six largest municipalities in terms of revenues and population – Durres, Vlore, </w:t>
      </w:r>
      <w:proofErr w:type="spellStart"/>
      <w:r w:rsidRPr="00F31385">
        <w:rPr>
          <w:rFonts w:cs="Times New Roman"/>
        </w:rPr>
        <w:t>Elbasan</w:t>
      </w:r>
      <w:proofErr w:type="spellEnd"/>
      <w:r w:rsidRPr="00F31385">
        <w:rPr>
          <w:rFonts w:cs="Times New Roman"/>
        </w:rPr>
        <w:t xml:space="preserve">, Shkoder, </w:t>
      </w:r>
      <w:proofErr w:type="spellStart"/>
      <w:r w:rsidRPr="00F31385">
        <w:rPr>
          <w:rFonts w:cs="Times New Roman"/>
        </w:rPr>
        <w:t>Korce</w:t>
      </w:r>
      <w:proofErr w:type="spellEnd"/>
      <w:r w:rsidRPr="00F31385">
        <w:rPr>
          <w:rFonts w:cs="Times New Roman"/>
        </w:rPr>
        <w:t xml:space="preserve">, and </w:t>
      </w:r>
      <w:proofErr w:type="spellStart"/>
      <w:r w:rsidRPr="00F31385">
        <w:rPr>
          <w:rFonts w:cs="Times New Roman"/>
        </w:rPr>
        <w:t>Fier</w:t>
      </w:r>
      <w:proofErr w:type="spellEnd"/>
      <w:r w:rsidRPr="00F31385">
        <w:rPr>
          <w:rFonts w:cs="Times New Roman"/>
        </w:rPr>
        <w:t xml:space="preserve"> are also included in the sample. Capital Tirana is an obvious outlier in the total sample and it will be often excluded from the analysis, although some of the findings of the report are equally relevant - if not more - even for Tirana. When Tirana and the six largest are excluded from the sample, the sub-sample contains 40 local governments, of which 19 are municipalities.</w:t>
      </w:r>
    </w:p>
    <w:p w14:paraId="4242F444" w14:textId="77777777" w:rsidR="006E5119" w:rsidRPr="00F31385" w:rsidRDefault="006E5119" w:rsidP="003C6C97">
      <w:pPr>
        <w:jc w:val="both"/>
        <w:rPr>
          <w:rFonts w:cs="Times New Roman"/>
        </w:rPr>
      </w:pPr>
      <w:r w:rsidRPr="00F31385">
        <w:rPr>
          <w:rFonts w:cs="Times New Roman"/>
        </w:rPr>
        <w:t xml:space="preserve">The selection was made on a regional basis, selecting at least three local government units in each region and more for the larger regions. The selection was based on the average population and revenue data within each region, selecting the largest LG within the region, one average and one that was significantly smaller than the regional average. In Shkoder and </w:t>
      </w:r>
      <w:proofErr w:type="spellStart"/>
      <w:r w:rsidRPr="00F31385">
        <w:rPr>
          <w:rFonts w:cs="Times New Roman"/>
        </w:rPr>
        <w:t>Lezhe</w:t>
      </w:r>
      <w:proofErr w:type="spellEnd"/>
      <w:r w:rsidRPr="00F31385">
        <w:rPr>
          <w:rFonts w:cs="Times New Roman"/>
        </w:rPr>
        <w:t xml:space="preserve"> regions five of the eight selected local government units have received technical assistance in the framework of </w:t>
      </w:r>
      <w:proofErr w:type="spellStart"/>
      <w:r w:rsidRPr="00F31385">
        <w:rPr>
          <w:rFonts w:cs="Times New Roman"/>
        </w:rPr>
        <w:t>dldp</w:t>
      </w:r>
      <w:proofErr w:type="spellEnd"/>
      <w:r w:rsidRPr="00F31385">
        <w:rPr>
          <w:rFonts w:cs="Times New Roman"/>
        </w:rPr>
        <w:t xml:space="preserve"> II </w:t>
      </w:r>
      <w:proofErr w:type="spellStart"/>
      <w:r w:rsidRPr="00F31385">
        <w:rPr>
          <w:rFonts w:cs="Times New Roman"/>
        </w:rPr>
        <w:t>programme</w:t>
      </w:r>
      <w:proofErr w:type="spellEnd"/>
      <w:r w:rsidRPr="00F31385">
        <w:rPr>
          <w:rFonts w:cs="Times New Roman"/>
        </w:rPr>
        <w:t>.</w:t>
      </w:r>
    </w:p>
    <w:p w14:paraId="1DA1A8B3" w14:textId="77777777" w:rsidR="006E5119" w:rsidRPr="00F31385" w:rsidRDefault="006E5119" w:rsidP="003C6C97">
      <w:pPr>
        <w:jc w:val="both"/>
        <w:rPr>
          <w:rFonts w:cs="Times New Roman"/>
        </w:rPr>
      </w:pPr>
      <w:r w:rsidRPr="00F31385">
        <w:rPr>
          <w:rFonts w:cs="Times New Roman"/>
        </w:rPr>
        <w:t>The selected sample is as follows: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78"/>
        <w:gridCol w:w="1756"/>
        <w:gridCol w:w="1945"/>
        <w:gridCol w:w="2040"/>
        <w:gridCol w:w="2057"/>
      </w:tblGrid>
      <w:tr w:rsidR="006E5119" w:rsidRPr="00F31385" w14:paraId="1A02CC80" w14:textId="77777777" w:rsidTr="006E5119">
        <w:trPr>
          <w:trHeight w:val="315"/>
        </w:trPr>
        <w:tc>
          <w:tcPr>
            <w:tcW w:w="1029" w:type="pct"/>
            <w:shd w:val="clear" w:color="auto" w:fill="auto"/>
            <w:noWrap/>
            <w:vAlign w:val="bottom"/>
            <w:hideMark/>
          </w:tcPr>
          <w:p w14:paraId="5DD1A641" w14:textId="77777777" w:rsidR="006E5119" w:rsidRPr="00F31385" w:rsidRDefault="006E5119" w:rsidP="006E5119">
            <w:pPr>
              <w:spacing w:after="0"/>
              <w:jc w:val="both"/>
              <w:rPr>
                <w:rFonts w:eastAsia="Times New Roman" w:cs="Times New Roman"/>
                <w:b/>
                <w:color w:val="000000"/>
              </w:rPr>
            </w:pPr>
            <w:r w:rsidRPr="00F31385">
              <w:rPr>
                <w:rFonts w:eastAsia="Times New Roman" w:cs="Times New Roman"/>
                <w:b/>
                <w:color w:val="000000"/>
              </w:rPr>
              <w:t>Region</w:t>
            </w:r>
          </w:p>
        </w:tc>
        <w:tc>
          <w:tcPr>
            <w:tcW w:w="3971" w:type="pct"/>
            <w:gridSpan w:val="4"/>
            <w:shd w:val="clear" w:color="auto" w:fill="auto"/>
            <w:noWrap/>
            <w:vAlign w:val="bottom"/>
            <w:hideMark/>
          </w:tcPr>
          <w:p w14:paraId="4EE3F38A" w14:textId="77777777" w:rsidR="006E5119" w:rsidRPr="00F31385" w:rsidRDefault="006E5119" w:rsidP="006E5119">
            <w:pPr>
              <w:spacing w:after="0"/>
              <w:jc w:val="both"/>
              <w:rPr>
                <w:rFonts w:eastAsia="Times New Roman" w:cs="Times New Roman"/>
                <w:b/>
              </w:rPr>
            </w:pPr>
            <w:r w:rsidRPr="00F31385">
              <w:rPr>
                <w:rFonts w:eastAsia="Times New Roman" w:cs="Times New Roman"/>
                <w:b/>
              </w:rPr>
              <w:t>Selected units</w:t>
            </w:r>
          </w:p>
        </w:tc>
      </w:tr>
      <w:tr w:rsidR="006E5119" w:rsidRPr="00F31385" w14:paraId="13F3C978" w14:textId="77777777" w:rsidTr="006E5119">
        <w:trPr>
          <w:trHeight w:val="315"/>
        </w:trPr>
        <w:tc>
          <w:tcPr>
            <w:tcW w:w="1029" w:type="pct"/>
            <w:shd w:val="clear" w:color="auto" w:fill="E6E6E6"/>
            <w:noWrap/>
            <w:vAlign w:val="bottom"/>
            <w:hideMark/>
          </w:tcPr>
          <w:p w14:paraId="786C1C65"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Berat</w:t>
            </w:r>
            <w:proofErr w:type="spellEnd"/>
          </w:p>
        </w:tc>
        <w:tc>
          <w:tcPr>
            <w:tcW w:w="830" w:type="pct"/>
            <w:shd w:val="clear" w:color="auto" w:fill="E6E6E6"/>
            <w:noWrap/>
            <w:vAlign w:val="bottom"/>
            <w:hideMark/>
          </w:tcPr>
          <w:p w14:paraId="668A3CFC"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Berat</w:t>
            </w:r>
            <w:proofErr w:type="spellEnd"/>
          </w:p>
        </w:tc>
        <w:tc>
          <w:tcPr>
            <w:tcW w:w="915" w:type="pct"/>
            <w:shd w:val="clear" w:color="auto" w:fill="E6E6E6"/>
            <w:noWrap/>
            <w:vAlign w:val="bottom"/>
            <w:hideMark/>
          </w:tcPr>
          <w:p w14:paraId="605277C5"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Kuçovë</w:t>
            </w:r>
            <w:proofErr w:type="spellEnd"/>
          </w:p>
        </w:tc>
        <w:tc>
          <w:tcPr>
            <w:tcW w:w="1051" w:type="pct"/>
            <w:shd w:val="clear" w:color="auto" w:fill="E6E6E6"/>
            <w:noWrap/>
            <w:vAlign w:val="bottom"/>
            <w:hideMark/>
          </w:tcPr>
          <w:p w14:paraId="56C9B3CE"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Kozare</w:t>
            </w:r>
            <w:proofErr w:type="spellEnd"/>
            <w:r w:rsidRPr="00F31385">
              <w:rPr>
                <w:rFonts w:eastAsia="Times New Roman" w:cs="Times New Roman"/>
              </w:rPr>
              <w:t xml:space="preserve"> </w:t>
            </w:r>
          </w:p>
        </w:tc>
        <w:tc>
          <w:tcPr>
            <w:tcW w:w="1176" w:type="pct"/>
            <w:shd w:val="clear" w:color="auto" w:fill="E6E6E6"/>
            <w:noWrap/>
            <w:vAlign w:val="bottom"/>
            <w:hideMark/>
          </w:tcPr>
          <w:p w14:paraId="1303CD9D"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Leshnje</w:t>
            </w:r>
            <w:proofErr w:type="spellEnd"/>
          </w:p>
        </w:tc>
      </w:tr>
      <w:tr w:rsidR="006E5119" w:rsidRPr="00F31385" w14:paraId="2648ED4C" w14:textId="77777777" w:rsidTr="006E5119">
        <w:trPr>
          <w:trHeight w:val="300"/>
        </w:trPr>
        <w:tc>
          <w:tcPr>
            <w:tcW w:w="1029" w:type="pct"/>
            <w:shd w:val="clear" w:color="auto" w:fill="auto"/>
            <w:noWrap/>
            <w:vAlign w:val="bottom"/>
            <w:hideMark/>
          </w:tcPr>
          <w:p w14:paraId="0A84B45F"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Dibër</w:t>
            </w:r>
            <w:proofErr w:type="spellEnd"/>
          </w:p>
        </w:tc>
        <w:tc>
          <w:tcPr>
            <w:tcW w:w="830" w:type="pct"/>
            <w:shd w:val="clear" w:color="auto" w:fill="auto"/>
            <w:noWrap/>
            <w:vAlign w:val="bottom"/>
            <w:hideMark/>
          </w:tcPr>
          <w:p w14:paraId="200867B2"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Peshkopi</w:t>
            </w:r>
            <w:proofErr w:type="spellEnd"/>
          </w:p>
        </w:tc>
        <w:tc>
          <w:tcPr>
            <w:tcW w:w="915" w:type="pct"/>
            <w:shd w:val="clear" w:color="auto" w:fill="auto"/>
            <w:noWrap/>
            <w:vAlign w:val="bottom"/>
            <w:hideMark/>
          </w:tcPr>
          <w:p w14:paraId="7D7EE091"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Z.Reç</w:t>
            </w:r>
            <w:proofErr w:type="spellEnd"/>
          </w:p>
        </w:tc>
        <w:tc>
          <w:tcPr>
            <w:tcW w:w="1051" w:type="pct"/>
            <w:shd w:val="clear" w:color="auto" w:fill="auto"/>
            <w:noWrap/>
            <w:vAlign w:val="bottom"/>
            <w:hideMark/>
          </w:tcPr>
          <w:p w14:paraId="077A10C4"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Burrel</w:t>
            </w:r>
            <w:proofErr w:type="spellEnd"/>
          </w:p>
        </w:tc>
        <w:tc>
          <w:tcPr>
            <w:tcW w:w="1176" w:type="pct"/>
            <w:shd w:val="clear" w:color="auto" w:fill="auto"/>
            <w:noWrap/>
            <w:vAlign w:val="bottom"/>
            <w:hideMark/>
          </w:tcPr>
          <w:p w14:paraId="70E1ECDE"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Ulez</w:t>
            </w:r>
            <w:proofErr w:type="spellEnd"/>
          </w:p>
        </w:tc>
      </w:tr>
      <w:tr w:rsidR="006E5119" w:rsidRPr="00F31385" w14:paraId="778BDB1B" w14:textId="77777777" w:rsidTr="006E5119">
        <w:trPr>
          <w:trHeight w:val="300"/>
        </w:trPr>
        <w:tc>
          <w:tcPr>
            <w:tcW w:w="1029" w:type="pct"/>
            <w:shd w:val="clear" w:color="auto" w:fill="E6E6E6"/>
            <w:noWrap/>
            <w:vAlign w:val="bottom"/>
            <w:hideMark/>
          </w:tcPr>
          <w:p w14:paraId="56C43EC5"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Durrës</w:t>
            </w:r>
            <w:proofErr w:type="spellEnd"/>
          </w:p>
        </w:tc>
        <w:tc>
          <w:tcPr>
            <w:tcW w:w="830" w:type="pct"/>
            <w:shd w:val="clear" w:color="auto" w:fill="E6E6E6"/>
            <w:noWrap/>
            <w:vAlign w:val="bottom"/>
            <w:hideMark/>
          </w:tcPr>
          <w:p w14:paraId="41A8F451"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Durrës</w:t>
            </w:r>
            <w:proofErr w:type="spellEnd"/>
          </w:p>
        </w:tc>
        <w:tc>
          <w:tcPr>
            <w:tcW w:w="915" w:type="pct"/>
            <w:shd w:val="clear" w:color="auto" w:fill="E6E6E6"/>
            <w:noWrap/>
            <w:vAlign w:val="bottom"/>
            <w:hideMark/>
          </w:tcPr>
          <w:p w14:paraId="09B19EB9"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Xhafzotaj</w:t>
            </w:r>
            <w:proofErr w:type="spellEnd"/>
          </w:p>
        </w:tc>
        <w:tc>
          <w:tcPr>
            <w:tcW w:w="1051" w:type="pct"/>
            <w:shd w:val="clear" w:color="auto" w:fill="E6E6E6"/>
            <w:noWrap/>
            <w:vAlign w:val="bottom"/>
            <w:hideMark/>
          </w:tcPr>
          <w:p w14:paraId="7E22C3C5"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Ishem</w:t>
            </w:r>
            <w:proofErr w:type="spellEnd"/>
          </w:p>
        </w:tc>
        <w:tc>
          <w:tcPr>
            <w:tcW w:w="1176" w:type="pct"/>
            <w:shd w:val="clear" w:color="auto" w:fill="E6E6E6"/>
            <w:noWrap/>
            <w:vAlign w:val="bottom"/>
            <w:hideMark/>
          </w:tcPr>
          <w:p w14:paraId="16BD4EFC"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Krujë</w:t>
            </w:r>
            <w:proofErr w:type="spellEnd"/>
          </w:p>
        </w:tc>
      </w:tr>
      <w:tr w:rsidR="006E5119" w:rsidRPr="00F31385" w14:paraId="08388D64" w14:textId="77777777" w:rsidTr="006E5119">
        <w:trPr>
          <w:trHeight w:val="300"/>
        </w:trPr>
        <w:tc>
          <w:tcPr>
            <w:tcW w:w="1029" w:type="pct"/>
            <w:shd w:val="clear" w:color="auto" w:fill="auto"/>
            <w:noWrap/>
            <w:vAlign w:val="bottom"/>
            <w:hideMark/>
          </w:tcPr>
          <w:p w14:paraId="4B61988A"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Elbasan</w:t>
            </w:r>
            <w:proofErr w:type="spellEnd"/>
          </w:p>
        </w:tc>
        <w:tc>
          <w:tcPr>
            <w:tcW w:w="830" w:type="pct"/>
            <w:shd w:val="clear" w:color="auto" w:fill="auto"/>
            <w:noWrap/>
            <w:vAlign w:val="bottom"/>
            <w:hideMark/>
          </w:tcPr>
          <w:p w14:paraId="7A25B82D"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Elbasan</w:t>
            </w:r>
            <w:proofErr w:type="spellEnd"/>
          </w:p>
        </w:tc>
        <w:tc>
          <w:tcPr>
            <w:tcW w:w="915" w:type="pct"/>
            <w:shd w:val="clear" w:color="auto" w:fill="auto"/>
            <w:noWrap/>
            <w:vAlign w:val="bottom"/>
            <w:hideMark/>
          </w:tcPr>
          <w:p w14:paraId="14179295" w14:textId="77777777" w:rsidR="006E5119" w:rsidRPr="00F31385" w:rsidRDefault="006E5119" w:rsidP="006E5119">
            <w:pPr>
              <w:spacing w:after="0"/>
              <w:jc w:val="both"/>
              <w:rPr>
                <w:rFonts w:eastAsia="Times New Roman" w:cs="Times New Roman"/>
              </w:rPr>
            </w:pPr>
            <w:r w:rsidRPr="00F31385">
              <w:rPr>
                <w:rFonts w:eastAsia="Times New Roman" w:cs="Times New Roman"/>
              </w:rPr>
              <w:t xml:space="preserve">K. </w:t>
            </w:r>
            <w:proofErr w:type="spellStart"/>
            <w:r w:rsidRPr="00F31385">
              <w:rPr>
                <w:rFonts w:eastAsia="Times New Roman" w:cs="Times New Roman"/>
              </w:rPr>
              <w:t>Labinot-Fushe</w:t>
            </w:r>
            <w:proofErr w:type="spellEnd"/>
          </w:p>
        </w:tc>
        <w:tc>
          <w:tcPr>
            <w:tcW w:w="1051" w:type="pct"/>
            <w:shd w:val="clear" w:color="auto" w:fill="auto"/>
            <w:noWrap/>
            <w:vAlign w:val="bottom"/>
            <w:hideMark/>
          </w:tcPr>
          <w:p w14:paraId="675F17E6"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Librazhd</w:t>
            </w:r>
            <w:proofErr w:type="spellEnd"/>
          </w:p>
        </w:tc>
        <w:tc>
          <w:tcPr>
            <w:tcW w:w="1176" w:type="pct"/>
            <w:shd w:val="clear" w:color="auto" w:fill="auto"/>
            <w:noWrap/>
            <w:vAlign w:val="bottom"/>
            <w:hideMark/>
          </w:tcPr>
          <w:p w14:paraId="4624AE1E" w14:textId="77777777" w:rsidR="006E5119" w:rsidRPr="00F31385" w:rsidRDefault="006E5119" w:rsidP="006E5119">
            <w:pPr>
              <w:spacing w:after="0"/>
              <w:jc w:val="both"/>
              <w:rPr>
                <w:rFonts w:eastAsia="Times New Roman" w:cs="Times New Roman"/>
              </w:rPr>
            </w:pPr>
            <w:r w:rsidRPr="00F31385">
              <w:rPr>
                <w:rFonts w:eastAsia="Times New Roman" w:cs="Times New Roman"/>
              </w:rPr>
              <w:t xml:space="preserve">K. </w:t>
            </w:r>
            <w:proofErr w:type="spellStart"/>
            <w:r w:rsidRPr="00F31385">
              <w:rPr>
                <w:rFonts w:eastAsia="Times New Roman" w:cs="Times New Roman"/>
              </w:rPr>
              <w:t>Hotolisht</w:t>
            </w:r>
            <w:proofErr w:type="spellEnd"/>
          </w:p>
        </w:tc>
      </w:tr>
      <w:tr w:rsidR="006E5119" w:rsidRPr="00F31385" w14:paraId="7BA39FE2" w14:textId="77777777" w:rsidTr="006E5119">
        <w:trPr>
          <w:trHeight w:val="300"/>
        </w:trPr>
        <w:tc>
          <w:tcPr>
            <w:tcW w:w="1029" w:type="pct"/>
            <w:shd w:val="clear" w:color="auto" w:fill="E6E6E6"/>
            <w:noWrap/>
            <w:vAlign w:val="bottom"/>
            <w:hideMark/>
          </w:tcPr>
          <w:p w14:paraId="7C94FCA8"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Fier</w:t>
            </w:r>
            <w:proofErr w:type="spellEnd"/>
          </w:p>
        </w:tc>
        <w:tc>
          <w:tcPr>
            <w:tcW w:w="830" w:type="pct"/>
            <w:shd w:val="clear" w:color="auto" w:fill="E6E6E6"/>
            <w:noWrap/>
            <w:vAlign w:val="bottom"/>
            <w:hideMark/>
          </w:tcPr>
          <w:p w14:paraId="7AADB63C"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Fier</w:t>
            </w:r>
            <w:proofErr w:type="spellEnd"/>
          </w:p>
        </w:tc>
        <w:tc>
          <w:tcPr>
            <w:tcW w:w="915" w:type="pct"/>
            <w:shd w:val="clear" w:color="auto" w:fill="E6E6E6"/>
            <w:noWrap/>
            <w:vAlign w:val="bottom"/>
            <w:hideMark/>
          </w:tcPr>
          <w:p w14:paraId="753509B7"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Ballsh</w:t>
            </w:r>
            <w:proofErr w:type="spellEnd"/>
          </w:p>
        </w:tc>
        <w:tc>
          <w:tcPr>
            <w:tcW w:w="1051" w:type="pct"/>
            <w:shd w:val="clear" w:color="auto" w:fill="E6E6E6"/>
            <w:noWrap/>
            <w:vAlign w:val="bottom"/>
            <w:hideMark/>
          </w:tcPr>
          <w:p w14:paraId="0EC29D4E"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Aranitas</w:t>
            </w:r>
            <w:proofErr w:type="spellEnd"/>
          </w:p>
        </w:tc>
        <w:tc>
          <w:tcPr>
            <w:tcW w:w="1176" w:type="pct"/>
            <w:shd w:val="clear" w:color="auto" w:fill="E6E6E6"/>
            <w:noWrap/>
            <w:vAlign w:val="bottom"/>
            <w:hideMark/>
          </w:tcPr>
          <w:p w14:paraId="5B197B7F" w14:textId="77777777" w:rsidR="006E5119" w:rsidRPr="00F31385" w:rsidRDefault="006E5119" w:rsidP="006E5119">
            <w:pPr>
              <w:spacing w:after="0"/>
              <w:jc w:val="both"/>
              <w:rPr>
                <w:rFonts w:eastAsia="Times New Roman" w:cs="Times New Roman"/>
              </w:rPr>
            </w:pPr>
            <w:r w:rsidRPr="00F31385">
              <w:rPr>
                <w:rFonts w:eastAsia="Times New Roman" w:cs="Times New Roman"/>
              </w:rPr>
              <w:t xml:space="preserve">B. </w:t>
            </w:r>
            <w:proofErr w:type="spellStart"/>
            <w:r w:rsidRPr="00F31385">
              <w:rPr>
                <w:rFonts w:eastAsia="Times New Roman" w:cs="Times New Roman"/>
              </w:rPr>
              <w:t>Divjakë</w:t>
            </w:r>
            <w:proofErr w:type="spellEnd"/>
          </w:p>
        </w:tc>
      </w:tr>
      <w:tr w:rsidR="006E5119" w:rsidRPr="00F31385" w14:paraId="623B86C4" w14:textId="77777777" w:rsidTr="006E5119">
        <w:trPr>
          <w:trHeight w:val="300"/>
        </w:trPr>
        <w:tc>
          <w:tcPr>
            <w:tcW w:w="1029" w:type="pct"/>
            <w:shd w:val="clear" w:color="auto" w:fill="auto"/>
            <w:noWrap/>
            <w:vAlign w:val="bottom"/>
            <w:hideMark/>
          </w:tcPr>
          <w:p w14:paraId="4F399EC1"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Gjirokaster</w:t>
            </w:r>
            <w:proofErr w:type="spellEnd"/>
          </w:p>
        </w:tc>
        <w:tc>
          <w:tcPr>
            <w:tcW w:w="830" w:type="pct"/>
            <w:shd w:val="clear" w:color="auto" w:fill="auto"/>
            <w:noWrap/>
            <w:vAlign w:val="bottom"/>
            <w:hideMark/>
          </w:tcPr>
          <w:p w14:paraId="708C437A" w14:textId="77777777" w:rsidR="006E5119" w:rsidRPr="00F31385" w:rsidRDefault="006E5119" w:rsidP="006E5119">
            <w:pPr>
              <w:spacing w:after="0"/>
              <w:jc w:val="both"/>
              <w:rPr>
                <w:rFonts w:eastAsia="Times New Roman" w:cs="Times New Roman"/>
              </w:rPr>
            </w:pPr>
            <w:r w:rsidRPr="00F31385">
              <w:rPr>
                <w:rFonts w:eastAsia="Times New Roman" w:cs="Times New Roman"/>
              </w:rPr>
              <w:t xml:space="preserve">B. </w:t>
            </w:r>
            <w:proofErr w:type="spellStart"/>
            <w:r w:rsidRPr="00F31385">
              <w:rPr>
                <w:rFonts w:eastAsia="Times New Roman" w:cs="Times New Roman"/>
              </w:rPr>
              <w:t>Gjirokastër</w:t>
            </w:r>
            <w:proofErr w:type="spellEnd"/>
          </w:p>
        </w:tc>
        <w:tc>
          <w:tcPr>
            <w:tcW w:w="915" w:type="pct"/>
            <w:shd w:val="clear" w:color="auto" w:fill="auto"/>
            <w:noWrap/>
            <w:vAlign w:val="bottom"/>
            <w:hideMark/>
          </w:tcPr>
          <w:p w14:paraId="500598B4"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Antigone </w:t>
            </w:r>
          </w:p>
        </w:tc>
        <w:tc>
          <w:tcPr>
            <w:tcW w:w="1051" w:type="pct"/>
            <w:shd w:val="clear" w:color="auto" w:fill="auto"/>
            <w:noWrap/>
            <w:vAlign w:val="bottom"/>
            <w:hideMark/>
          </w:tcPr>
          <w:p w14:paraId="01C01520"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D. </w:t>
            </w:r>
            <w:proofErr w:type="spellStart"/>
            <w:r w:rsidRPr="00F31385">
              <w:rPr>
                <w:rFonts w:eastAsia="Times New Roman" w:cs="Times New Roman"/>
              </w:rPr>
              <w:t>Poshtem</w:t>
            </w:r>
            <w:proofErr w:type="spellEnd"/>
          </w:p>
        </w:tc>
        <w:tc>
          <w:tcPr>
            <w:tcW w:w="1176" w:type="pct"/>
            <w:shd w:val="clear" w:color="auto" w:fill="auto"/>
            <w:noWrap/>
            <w:vAlign w:val="bottom"/>
            <w:hideMark/>
          </w:tcPr>
          <w:p w14:paraId="40F71709" w14:textId="77777777" w:rsidR="006E5119" w:rsidRPr="00F31385" w:rsidRDefault="006E5119" w:rsidP="006E5119">
            <w:pPr>
              <w:spacing w:after="0"/>
              <w:jc w:val="both"/>
              <w:rPr>
                <w:rFonts w:eastAsia="Times New Roman" w:cs="Times New Roman"/>
              </w:rPr>
            </w:pPr>
            <w:r w:rsidRPr="00F31385">
              <w:rPr>
                <w:rFonts w:eastAsia="Times New Roman" w:cs="Times New Roman"/>
              </w:rPr>
              <w:t xml:space="preserve">B. </w:t>
            </w:r>
            <w:proofErr w:type="spellStart"/>
            <w:r w:rsidRPr="00F31385">
              <w:rPr>
                <w:rFonts w:eastAsia="Times New Roman" w:cs="Times New Roman"/>
              </w:rPr>
              <w:t>Tepelenë</w:t>
            </w:r>
            <w:proofErr w:type="spellEnd"/>
          </w:p>
        </w:tc>
      </w:tr>
      <w:tr w:rsidR="006E5119" w:rsidRPr="00F31385" w14:paraId="00575620" w14:textId="77777777" w:rsidTr="006E5119">
        <w:trPr>
          <w:trHeight w:val="300"/>
        </w:trPr>
        <w:tc>
          <w:tcPr>
            <w:tcW w:w="1029" w:type="pct"/>
            <w:shd w:val="clear" w:color="auto" w:fill="E6E6E6"/>
            <w:noWrap/>
            <w:vAlign w:val="bottom"/>
            <w:hideMark/>
          </w:tcPr>
          <w:p w14:paraId="20ADFD86"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Korçë</w:t>
            </w:r>
            <w:proofErr w:type="spellEnd"/>
          </w:p>
        </w:tc>
        <w:tc>
          <w:tcPr>
            <w:tcW w:w="830" w:type="pct"/>
            <w:shd w:val="clear" w:color="auto" w:fill="E6E6E6"/>
            <w:noWrap/>
            <w:vAlign w:val="bottom"/>
            <w:hideMark/>
          </w:tcPr>
          <w:p w14:paraId="4DE3BBDF"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Korçë</w:t>
            </w:r>
            <w:proofErr w:type="spellEnd"/>
          </w:p>
        </w:tc>
        <w:tc>
          <w:tcPr>
            <w:tcW w:w="915" w:type="pct"/>
            <w:shd w:val="clear" w:color="auto" w:fill="E6E6E6"/>
            <w:noWrap/>
            <w:vAlign w:val="bottom"/>
            <w:hideMark/>
          </w:tcPr>
          <w:p w14:paraId="34AB2AB6"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Voskopoje</w:t>
            </w:r>
            <w:proofErr w:type="spellEnd"/>
          </w:p>
        </w:tc>
        <w:tc>
          <w:tcPr>
            <w:tcW w:w="1051" w:type="pct"/>
            <w:shd w:val="clear" w:color="auto" w:fill="E6E6E6"/>
            <w:noWrap/>
            <w:vAlign w:val="bottom"/>
            <w:hideMark/>
          </w:tcPr>
          <w:p w14:paraId="259253A6"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Pogradec</w:t>
            </w:r>
            <w:proofErr w:type="spellEnd"/>
          </w:p>
        </w:tc>
        <w:tc>
          <w:tcPr>
            <w:tcW w:w="1176" w:type="pct"/>
            <w:shd w:val="clear" w:color="auto" w:fill="E6E6E6"/>
            <w:noWrap/>
            <w:vAlign w:val="bottom"/>
            <w:hideMark/>
          </w:tcPr>
          <w:p w14:paraId="799FBE60" w14:textId="77777777" w:rsidR="006E5119" w:rsidRPr="00F31385" w:rsidRDefault="006E5119" w:rsidP="006E5119">
            <w:pPr>
              <w:spacing w:after="0"/>
              <w:jc w:val="both"/>
              <w:rPr>
                <w:rFonts w:eastAsia="Times New Roman" w:cs="Times New Roman"/>
              </w:rPr>
            </w:pPr>
            <w:r w:rsidRPr="00F31385">
              <w:rPr>
                <w:rFonts w:eastAsia="Times New Roman" w:cs="Times New Roman"/>
              </w:rPr>
              <w:t xml:space="preserve">K. </w:t>
            </w:r>
            <w:proofErr w:type="spellStart"/>
            <w:r w:rsidRPr="00F31385">
              <w:rPr>
                <w:rFonts w:eastAsia="Times New Roman" w:cs="Times New Roman"/>
              </w:rPr>
              <w:t>Bucimas</w:t>
            </w:r>
            <w:proofErr w:type="spellEnd"/>
          </w:p>
        </w:tc>
      </w:tr>
      <w:tr w:rsidR="006E5119" w:rsidRPr="00F31385" w14:paraId="15EDBAC2" w14:textId="77777777" w:rsidTr="006E5119">
        <w:trPr>
          <w:trHeight w:val="300"/>
        </w:trPr>
        <w:tc>
          <w:tcPr>
            <w:tcW w:w="1029" w:type="pct"/>
            <w:shd w:val="clear" w:color="auto" w:fill="auto"/>
            <w:noWrap/>
            <w:vAlign w:val="bottom"/>
            <w:hideMark/>
          </w:tcPr>
          <w:p w14:paraId="318FB6CF"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Kukës</w:t>
            </w:r>
            <w:proofErr w:type="spellEnd"/>
          </w:p>
        </w:tc>
        <w:tc>
          <w:tcPr>
            <w:tcW w:w="830" w:type="pct"/>
            <w:shd w:val="clear" w:color="auto" w:fill="auto"/>
            <w:noWrap/>
            <w:vAlign w:val="bottom"/>
            <w:hideMark/>
          </w:tcPr>
          <w:p w14:paraId="7164EAFB"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Kukës</w:t>
            </w:r>
            <w:proofErr w:type="spellEnd"/>
          </w:p>
        </w:tc>
        <w:tc>
          <w:tcPr>
            <w:tcW w:w="915" w:type="pct"/>
            <w:shd w:val="clear" w:color="auto" w:fill="auto"/>
            <w:noWrap/>
            <w:vAlign w:val="bottom"/>
            <w:hideMark/>
          </w:tcPr>
          <w:p w14:paraId="479787DC"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Kolsh</w:t>
            </w:r>
            <w:proofErr w:type="spellEnd"/>
          </w:p>
        </w:tc>
        <w:tc>
          <w:tcPr>
            <w:tcW w:w="1051" w:type="pct"/>
            <w:shd w:val="clear" w:color="auto" w:fill="auto"/>
            <w:noWrap/>
            <w:vAlign w:val="bottom"/>
            <w:hideMark/>
          </w:tcPr>
          <w:p w14:paraId="1B43D353" w14:textId="77777777" w:rsidR="006E5119" w:rsidRPr="00F31385" w:rsidRDefault="006E5119" w:rsidP="006E5119">
            <w:pPr>
              <w:spacing w:after="0"/>
              <w:jc w:val="both"/>
              <w:rPr>
                <w:rFonts w:eastAsia="Times New Roman" w:cs="Times New Roman"/>
              </w:rPr>
            </w:pPr>
            <w:r w:rsidRPr="00F31385">
              <w:rPr>
                <w:rFonts w:eastAsia="Times New Roman" w:cs="Times New Roman"/>
              </w:rPr>
              <w:t xml:space="preserve">B. </w:t>
            </w:r>
            <w:proofErr w:type="spellStart"/>
            <w:r w:rsidRPr="00F31385">
              <w:rPr>
                <w:rFonts w:eastAsia="Times New Roman" w:cs="Times New Roman"/>
              </w:rPr>
              <w:t>Bajram-Curri</w:t>
            </w:r>
            <w:proofErr w:type="spellEnd"/>
          </w:p>
        </w:tc>
        <w:tc>
          <w:tcPr>
            <w:tcW w:w="1176" w:type="pct"/>
            <w:shd w:val="clear" w:color="auto" w:fill="auto"/>
            <w:noWrap/>
            <w:vAlign w:val="bottom"/>
            <w:hideMark/>
          </w:tcPr>
          <w:p w14:paraId="140EC6CF" w14:textId="77777777" w:rsidR="006E5119" w:rsidRPr="00F31385" w:rsidRDefault="006E5119" w:rsidP="006E5119">
            <w:pPr>
              <w:spacing w:after="0"/>
              <w:jc w:val="both"/>
              <w:rPr>
                <w:rFonts w:eastAsia="Times New Roman" w:cs="Times New Roman"/>
                <w:color w:val="000000"/>
              </w:rPr>
            </w:pPr>
          </w:p>
        </w:tc>
      </w:tr>
      <w:tr w:rsidR="006E5119" w:rsidRPr="00F31385" w14:paraId="350F08AF" w14:textId="77777777" w:rsidTr="006E5119">
        <w:trPr>
          <w:trHeight w:val="300"/>
        </w:trPr>
        <w:tc>
          <w:tcPr>
            <w:tcW w:w="1029" w:type="pct"/>
            <w:shd w:val="clear" w:color="auto" w:fill="E6E6E6"/>
            <w:noWrap/>
            <w:vAlign w:val="bottom"/>
            <w:hideMark/>
          </w:tcPr>
          <w:p w14:paraId="5C2269DC"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Lezhë</w:t>
            </w:r>
            <w:proofErr w:type="spellEnd"/>
          </w:p>
        </w:tc>
        <w:tc>
          <w:tcPr>
            <w:tcW w:w="830" w:type="pct"/>
            <w:shd w:val="clear" w:color="auto" w:fill="E6E6E6"/>
            <w:noWrap/>
            <w:vAlign w:val="bottom"/>
            <w:hideMark/>
          </w:tcPr>
          <w:p w14:paraId="2F43FE68"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Lezhë</w:t>
            </w:r>
            <w:proofErr w:type="spellEnd"/>
          </w:p>
        </w:tc>
        <w:tc>
          <w:tcPr>
            <w:tcW w:w="915" w:type="pct"/>
            <w:shd w:val="clear" w:color="auto" w:fill="E6E6E6"/>
            <w:noWrap/>
            <w:vAlign w:val="bottom"/>
            <w:hideMark/>
          </w:tcPr>
          <w:p w14:paraId="5E839B52"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Kallmet</w:t>
            </w:r>
            <w:proofErr w:type="spellEnd"/>
          </w:p>
        </w:tc>
        <w:tc>
          <w:tcPr>
            <w:tcW w:w="1051" w:type="pct"/>
            <w:shd w:val="clear" w:color="auto" w:fill="E6E6E6"/>
            <w:noWrap/>
            <w:vAlign w:val="bottom"/>
            <w:hideMark/>
          </w:tcPr>
          <w:p w14:paraId="79EA73D3"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Laç</w:t>
            </w:r>
            <w:proofErr w:type="spellEnd"/>
          </w:p>
        </w:tc>
        <w:tc>
          <w:tcPr>
            <w:tcW w:w="1176" w:type="pct"/>
            <w:shd w:val="clear" w:color="auto" w:fill="E6E6E6"/>
            <w:noWrap/>
            <w:vAlign w:val="bottom"/>
            <w:hideMark/>
          </w:tcPr>
          <w:p w14:paraId="326A5A18"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Orosh</w:t>
            </w:r>
            <w:proofErr w:type="spellEnd"/>
          </w:p>
        </w:tc>
      </w:tr>
      <w:tr w:rsidR="006E5119" w:rsidRPr="00F31385" w14:paraId="4230B937" w14:textId="77777777" w:rsidTr="006E5119">
        <w:trPr>
          <w:trHeight w:val="300"/>
        </w:trPr>
        <w:tc>
          <w:tcPr>
            <w:tcW w:w="1029" w:type="pct"/>
            <w:shd w:val="clear" w:color="auto" w:fill="auto"/>
            <w:noWrap/>
            <w:vAlign w:val="bottom"/>
            <w:hideMark/>
          </w:tcPr>
          <w:p w14:paraId="1CCD03BC"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Shkodër</w:t>
            </w:r>
            <w:proofErr w:type="spellEnd"/>
          </w:p>
        </w:tc>
        <w:tc>
          <w:tcPr>
            <w:tcW w:w="830" w:type="pct"/>
            <w:shd w:val="clear" w:color="auto" w:fill="auto"/>
            <w:noWrap/>
            <w:vAlign w:val="bottom"/>
            <w:hideMark/>
          </w:tcPr>
          <w:p w14:paraId="0014F4D4"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Shkodër</w:t>
            </w:r>
            <w:proofErr w:type="spellEnd"/>
          </w:p>
        </w:tc>
        <w:tc>
          <w:tcPr>
            <w:tcW w:w="915" w:type="pct"/>
            <w:shd w:val="clear" w:color="auto" w:fill="auto"/>
            <w:noWrap/>
            <w:vAlign w:val="bottom"/>
            <w:hideMark/>
          </w:tcPr>
          <w:p w14:paraId="3F011EF7" w14:textId="77777777" w:rsidR="006E5119" w:rsidRPr="00F31385" w:rsidRDefault="006E5119" w:rsidP="006E5119">
            <w:pPr>
              <w:spacing w:after="0"/>
              <w:jc w:val="both"/>
              <w:rPr>
                <w:rFonts w:eastAsia="Times New Roman" w:cs="Times New Roman"/>
              </w:rPr>
            </w:pPr>
            <w:proofErr w:type="spellStart"/>
            <w:proofErr w:type="gram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Bushat</w:t>
            </w:r>
            <w:proofErr w:type="spellEnd"/>
            <w:proofErr w:type="gramEnd"/>
          </w:p>
        </w:tc>
        <w:tc>
          <w:tcPr>
            <w:tcW w:w="1051" w:type="pct"/>
            <w:shd w:val="clear" w:color="auto" w:fill="auto"/>
            <w:noWrap/>
            <w:vAlign w:val="bottom"/>
            <w:hideMark/>
          </w:tcPr>
          <w:p w14:paraId="290DBB2E" w14:textId="77777777" w:rsidR="006E5119" w:rsidRPr="00F31385" w:rsidRDefault="006E5119" w:rsidP="006E5119">
            <w:pPr>
              <w:spacing w:after="0"/>
              <w:jc w:val="both"/>
              <w:rPr>
                <w:rFonts w:eastAsia="Times New Roman" w:cs="Times New Roman"/>
              </w:rPr>
            </w:pPr>
            <w:proofErr w:type="spellStart"/>
            <w:proofErr w:type="gram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Dajc</w:t>
            </w:r>
            <w:proofErr w:type="spellEnd"/>
            <w:proofErr w:type="gramEnd"/>
          </w:p>
        </w:tc>
        <w:tc>
          <w:tcPr>
            <w:tcW w:w="1176" w:type="pct"/>
            <w:shd w:val="clear" w:color="auto" w:fill="auto"/>
            <w:noWrap/>
            <w:vAlign w:val="bottom"/>
            <w:hideMark/>
          </w:tcPr>
          <w:p w14:paraId="0ED2A5D6"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Pukë</w:t>
            </w:r>
            <w:proofErr w:type="spellEnd"/>
          </w:p>
        </w:tc>
      </w:tr>
      <w:tr w:rsidR="006E5119" w:rsidRPr="00F31385" w14:paraId="3CF85A0B" w14:textId="77777777" w:rsidTr="006E5119">
        <w:trPr>
          <w:trHeight w:val="300"/>
        </w:trPr>
        <w:tc>
          <w:tcPr>
            <w:tcW w:w="1029" w:type="pct"/>
            <w:tcBorders>
              <w:bottom w:val="dotted" w:sz="4" w:space="0" w:color="auto"/>
            </w:tcBorders>
            <w:shd w:val="clear" w:color="auto" w:fill="E6E6E6"/>
            <w:noWrap/>
            <w:vAlign w:val="bottom"/>
            <w:hideMark/>
          </w:tcPr>
          <w:p w14:paraId="623E4ED7"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Tiranë</w:t>
            </w:r>
            <w:proofErr w:type="spellEnd"/>
          </w:p>
        </w:tc>
        <w:tc>
          <w:tcPr>
            <w:tcW w:w="830" w:type="pct"/>
            <w:tcBorders>
              <w:bottom w:val="dotted" w:sz="4" w:space="0" w:color="auto"/>
            </w:tcBorders>
            <w:shd w:val="clear" w:color="auto" w:fill="E6E6E6"/>
            <w:noWrap/>
            <w:vAlign w:val="bottom"/>
            <w:hideMark/>
          </w:tcPr>
          <w:p w14:paraId="0B638279"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Kavajë</w:t>
            </w:r>
            <w:proofErr w:type="spellEnd"/>
          </w:p>
        </w:tc>
        <w:tc>
          <w:tcPr>
            <w:tcW w:w="915" w:type="pct"/>
            <w:tcBorders>
              <w:bottom w:val="dotted" w:sz="4" w:space="0" w:color="auto"/>
            </w:tcBorders>
            <w:shd w:val="clear" w:color="auto" w:fill="E6E6E6"/>
            <w:noWrap/>
            <w:vAlign w:val="bottom"/>
            <w:hideMark/>
          </w:tcPr>
          <w:p w14:paraId="039112CF"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Kamëz</w:t>
            </w:r>
            <w:proofErr w:type="spellEnd"/>
          </w:p>
        </w:tc>
        <w:tc>
          <w:tcPr>
            <w:tcW w:w="1051" w:type="pct"/>
            <w:tcBorders>
              <w:bottom w:val="dotted" w:sz="4" w:space="0" w:color="auto"/>
            </w:tcBorders>
            <w:shd w:val="clear" w:color="auto" w:fill="E6E6E6"/>
            <w:noWrap/>
            <w:vAlign w:val="bottom"/>
            <w:hideMark/>
          </w:tcPr>
          <w:p w14:paraId="6F8B412C" w14:textId="77777777" w:rsidR="006E5119" w:rsidRPr="00F31385" w:rsidRDefault="006E5119" w:rsidP="006E5119">
            <w:pPr>
              <w:spacing w:after="0"/>
              <w:jc w:val="both"/>
              <w:rPr>
                <w:rFonts w:eastAsia="Times New Roman" w:cs="Times New Roman"/>
              </w:rPr>
            </w:pPr>
            <w:proofErr w:type="spellStart"/>
            <w:proofErr w:type="gram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Kashar</w:t>
            </w:r>
            <w:proofErr w:type="spellEnd"/>
            <w:proofErr w:type="gramEnd"/>
          </w:p>
        </w:tc>
        <w:tc>
          <w:tcPr>
            <w:tcW w:w="1176" w:type="pct"/>
            <w:tcBorders>
              <w:bottom w:val="dotted" w:sz="4" w:space="0" w:color="auto"/>
            </w:tcBorders>
            <w:shd w:val="clear" w:color="auto" w:fill="E6E6E6"/>
            <w:noWrap/>
            <w:vAlign w:val="bottom"/>
            <w:hideMark/>
          </w:tcPr>
          <w:p w14:paraId="4C503B1B" w14:textId="77777777" w:rsidR="006E5119" w:rsidRPr="00F31385" w:rsidRDefault="006E5119" w:rsidP="006E5119">
            <w:pPr>
              <w:spacing w:after="0"/>
              <w:jc w:val="both"/>
              <w:rPr>
                <w:rFonts w:eastAsia="Times New Roman" w:cs="Times New Roman"/>
              </w:rPr>
            </w:pPr>
            <w:proofErr w:type="spellStart"/>
            <w:proofErr w:type="gram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Petrele</w:t>
            </w:r>
            <w:proofErr w:type="spellEnd"/>
            <w:proofErr w:type="gramEnd"/>
          </w:p>
        </w:tc>
      </w:tr>
      <w:tr w:rsidR="006E5119" w:rsidRPr="00F31385" w14:paraId="44EE3794" w14:textId="77777777" w:rsidTr="006E5119">
        <w:trPr>
          <w:trHeight w:val="300"/>
        </w:trPr>
        <w:tc>
          <w:tcPr>
            <w:tcW w:w="1029" w:type="pct"/>
            <w:tcBorders>
              <w:bottom w:val="dotted" w:sz="4" w:space="0" w:color="auto"/>
            </w:tcBorders>
            <w:shd w:val="clear" w:color="auto" w:fill="auto"/>
            <w:noWrap/>
            <w:vAlign w:val="bottom"/>
            <w:hideMark/>
          </w:tcPr>
          <w:p w14:paraId="1EA32CAB"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Tirane</w:t>
            </w:r>
            <w:proofErr w:type="spellEnd"/>
          </w:p>
        </w:tc>
        <w:tc>
          <w:tcPr>
            <w:tcW w:w="830" w:type="pct"/>
            <w:tcBorders>
              <w:bottom w:val="dotted" w:sz="4" w:space="0" w:color="auto"/>
            </w:tcBorders>
            <w:shd w:val="clear" w:color="auto" w:fill="auto"/>
            <w:noWrap/>
            <w:vAlign w:val="bottom"/>
            <w:hideMark/>
          </w:tcPr>
          <w:p w14:paraId="74F55956"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Tiranë</w:t>
            </w:r>
            <w:proofErr w:type="spellEnd"/>
          </w:p>
        </w:tc>
        <w:tc>
          <w:tcPr>
            <w:tcW w:w="915" w:type="pct"/>
            <w:tcBorders>
              <w:bottom w:val="dotted" w:sz="4" w:space="0" w:color="auto"/>
            </w:tcBorders>
            <w:shd w:val="clear" w:color="auto" w:fill="auto"/>
            <w:noWrap/>
            <w:vAlign w:val="bottom"/>
            <w:hideMark/>
          </w:tcPr>
          <w:p w14:paraId="03712172" w14:textId="77777777" w:rsidR="006E5119" w:rsidRPr="00F31385" w:rsidRDefault="006E5119" w:rsidP="006E5119">
            <w:pPr>
              <w:spacing w:after="0"/>
              <w:jc w:val="both"/>
              <w:rPr>
                <w:rFonts w:eastAsia="Times New Roman" w:cs="Times New Roman"/>
              </w:rPr>
            </w:pPr>
          </w:p>
        </w:tc>
        <w:tc>
          <w:tcPr>
            <w:tcW w:w="1051" w:type="pct"/>
            <w:tcBorders>
              <w:bottom w:val="dotted" w:sz="4" w:space="0" w:color="auto"/>
            </w:tcBorders>
            <w:shd w:val="clear" w:color="auto" w:fill="auto"/>
            <w:noWrap/>
            <w:vAlign w:val="bottom"/>
            <w:hideMark/>
          </w:tcPr>
          <w:p w14:paraId="261CC6CA" w14:textId="77777777" w:rsidR="006E5119" w:rsidRPr="00F31385" w:rsidRDefault="006E5119" w:rsidP="006E5119">
            <w:pPr>
              <w:spacing w:after="0"/>
              <w:jc w:val="both"/>
              <w:rPr>
                <w:rFonts w:eastAsia="Times New Roman" w:cs="Times New Roman"/>
              </w:rPr>
            </w:pPr>
          </w:p>
        </w:tc>
        <w:tc>
          <w:tcPr>
            <w:tcW w:w="1176" w:type="pct"/>
            <w:tcBorders>
              <w:bottom w:val="dotted" w:sz="4" w:space="0" w:color="auto"/>
            </w:tcBorders>
            <w:shd w:val="clear" w:color="auto" w:fill="auto"/>
            <w:noWrap/>
            <w:vAlign w:val="bottom"/>
            <w:hideMark/>
          </w:tcPr>
          <w:p w14:paraId="39030BF3" w14:textId="77777777" w:rsidR="006E5119" w:rsidRPr="00F31385" w:rsidRDefault="006E5119" w:rsidP="006E5119">
            <w:pPr>
              <w:spacing w:after="0"/>
              <w:jc w:val="both"/>
              <w:rPr>
                <w:rFonts w:eastAsia="Times New Roman" w:cs="Times New Roman"/>
              </w:rPr>
            </w:pPr>
          </w:p>
        </w:tc>
      </w:tr>
      <w:tr w:rsidR="006E5119" w:rsidRPr="00F31385" w14:paraId="782B5AD2" w14:textId="77777777" w:rsidTr="006E5119">
        <w:trPr>
          <w:trHeight w:val="300"/>
        </w:trPr>
        <w:tc>
          <w:tcPr>
            <w:tcW w:w="1029" w:type="pct"/>
            <w:shd w:val="clear" w:color="auto" w:fill="E6E6E6"/>
            <w:noWrap/>
            <w:vAlign w:val="bottom"/>
          </w:tcPr>
          <w:p w14:paraId="01D6FB7E" w14:textId="77777777" w:rsidR="006E5119" w:rsidRPr="00F31385" w:rsidRDefault="006E5119" w:rsidP="006E5119">
            <w:pPr>
              <w:spacing w:after="0"/>
              <w:jc w:val="both"/>
              <w:rPr>
                <w:rFonts w:eastAsia="Times New Roman" w:cs="Times New Roman"/>
                <w:b/>
                <w:color w:val="000000"/>
              </w:rPr>
            </w:pPr>
            <w:proofErr w:type="spellStart"/>
            <w:r w:rsidRPr="00F31385">
              <w:rPr>
                <w:rFonts w:eastAsia="Times New Roman" w:cs="Times New Roman"/>
                <w:b/>
                <w:color w:val="000000"/>
              </w:rPr>
              <w:t>Vlorë</w:t>
            </w:r>
            <w:proofErr w:type="spellEnd"/>
          </w:p>
        </w:tc>
        <w:tc>
          <w:tcPr>
            <w:tcW w:w="830" w:type="pct"/>
            <w:shd w:val="clear" w:color="auto" w:fill="E6E6E6"/>
            <w:noWrap/>
            <w:vAlign w:val="bottom"/>
          </w:tcPr>
          <w:p w14:paraId="2F7AB245"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Vlorë</w:t>
            </w:r>
            <w:proofErr w:type="spellEnd"/>
          </w:p>
        </w:tc>
        <w:tc>
          <w:tcPr>
            <w:tcW w:w="915" w:type="pct"/>
            <w:shd w:val="clear" w:color="auto" w:fill="E6E6E6"/>
            <w:noWrap/>
            <w:vAlign w:val="bottom"/>
          </w:tcPr>
          <w:p w14:paraId="1115BBF7"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Himarë</w:t>
            </w:r>
            <w:proofErr w:type="spellEnd"/>
          </w:p>
        </w:tc>
        <w:tc>
          <w:tcPr>
            <w:tcW w:w="1051" w:type="pct"/>
            <w:shd w:val="clear" w:color="auto" w:fill="E6E6E6"/>
            <w:noWrap/>
            <w:vAlign w:val="bottom"/>
          </w:tcPr>
          <w:p w14:paraId="09D8B45F"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Bashkia</w:t>
            </w:r>
            <w:proofErr w:type="spellEnd"/>
            <w:r w:rsidRPr="00F31385">
              <w:rPr>
                <w:rFonts w:eastAsia="Times New Roman" w:cs="Times New Roman"/>
              </w:rPr>
              <w:t xml:space="preserve"> </w:t>
            </w:r>
            <w:proofErr w:type="spellStart"/>
            <w:r w:rsidRPr="00F31385">
              <w:rPr>
                <w:rFonts w:eastAsia="Times New Roman" w:cs="Times New Roman"/>
              </w:rPr>
              <w:t>Sarandë</w:t>
            </w:r>
            <w:proofErr w:type="spellEnd"/>
          </w:p>
        </w:tc>
        <w:tc>
          <w:tcPr>
            <w:tcW w:w="1176" w:type="pct"/>
            <w:shd w:val="clear" w:color="auto" w:fill="E6E6E6"/>
            <w:noWrap/>
            <w:vAlign w:val="bottom"/>
          </w:tcPr>
          <w:p w14:paraId="598C587B" w14:textId="77777777" w:rsidR="006E5119" w:rsidRPr="00F31385" w:rsidRDefault="006E5119" w:rsidP="006E5119">
            <w:pPr>
              <w:spacing w:after="0"/>
              <w:jc w:val="both"/>
              <w:rPr>
                <w:rFonts w:eastAsia="Times New Roman" w:cs="Times New Roman"/>
              </w:rPr>
            </w:pPr>
            <w:proofErr w:type="spellStart"/>
            <w:r w:rsidRPr="00F31385">
              <w:rPr>
                <w:rFonts w:eastAsia="Times New Roman" w:cs="Times New Roman"/>
              </w:rPr>
              <w:t>Komuna</w:t>
            </w:r>
            <w:proofErr w:type="spellEnd"/>
            <w:r w:rsidRPr="00F31385">
              <w:rPr>
                <w:rFonts w:eastAsia="Times New Roman" w:cs="Times New Roman"/>
              </w:rPr>
              <w:t xml:space="preserve"> </w:t>
            </w:r>
            <w:proofErr w:type="spellStart"/>
            <w:r w:rsidRPr="00F31385">
              <w:rPr>
                <w:rFonts w:eastAsia="Times New Roman" w:cs="Times New Roman"/>
              </w:rPr>
              <w:t>Xarre</w:t>
            </w:r>
            <w:proofErr w:type="spellEnd"/>
          </w:p>
        </w:tc>
      </w:tr>
    </w:tbl>
    <w:p w14:paraId="324818F6" w14:textId="77777777" w:rsidR="006E5119" w:rsidRPr="00F31385" w:rsidRDefault="006E5119" w:rsidP="006E5119">
      <w:pPr>
        <w:spacing w:before="120"/>
        <w:jc w:val="both"/>
        <w:rPr>
          <w:rFonts w:cs="Times New Roman"/>
        </w:rPr>
      </w:pPr>
    </w:p>
    <w:p w14:paraId="12F253C9" w14:textId="77777777" w:rsidR="006E5119" w:rsidRPr="00F31385" w:rsidRDefault="006E5119" w:rsidP="006E5119">
      <w:pPr>
        <w:jc w:val="both"/>
        <w:rPr>
          <w:rFonts w:cs="Times New Roman"/>
        </w:rPr>
      </w:pPr>
      <w:r w:rsidRPr="00F31385">
        <w:rPr>
          <w:rFonts w:cs="Times New Roman"/>
        </w:rPr>
        <w:t xml:space="preserve">The total weight of the selected sample in the overall picture of local governments in Albania is as </w:t>
      </w:r>
      <w:r w:rsidRPr="00836AEA">
        <w:t>follows</w:t>
      </w:r>
      <w:r w:rsidRPr="00F31385">
        <w:rPr>
          <w:rFonts w:cs="Times New Roman"/>
        </w:rPr>
        <w:t>:</w:t>
      </w:r>
    </w:p>
    <w:p w14:paraId="75850542" w14:textId="77777777" w:rsidR="006E5119" w:rsidRPr="00F31385" w:rsidRDefault="006E5119" w:rsidP="006E5119">
      <w:pPr>
        <w:spacing w:before="120"/>
        <w:jc w:val="both"/>
        <w:rPr>
          <w:rFonts w:cs="Times New Roman"/>
        </w:rPr>
      </w:pPr>
    </w:p>
    <w:p w14:paraId="0B279A82" w14:textId="77777777" w:rsidR="006E5119" w:rsidRPr="00F31385" w:rsidRDefault="00314B3D" w:rsidP="006E5119">
      <w:pPr>
        <w:pStyle w:val="Caption"/>
        <w:keepNext/>
        <w:jc w:val="both"/>
        <w:rPr>
          <w:rFonts w:asciiTheme="minorHAnsi" w:hAnsiTheme="minorHAnsi"/>
          <w:sz w:val="22"/>
          <w:szCs w:val="22"/>
        </w:rPr>
      </w:pPr>
      <w:proofErr w:type="gramStart"/>
      <w:r>
        <w:rPr>
          <w:rFonts w:asciiTheme="minorHAnsi" w:hAnsiTheme="minorHAnsi"/>
          <w:sz w:val="22"/>
          <w:szCs w:val="22"/>
        </w:rPr>
        <w:t>Table</w:t>
      </w:r>
      <w:r w:rsidR="006E5119" w:rsidRPr="00F31385">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SEQ Table \* ARABIC </w:instrText>
      </w:r>
      <w:r>
        <w:rPr>
          <w:rFonts w:asciiTheme="minorHAnsi" w:hAnsiTheme="minorHAnsi"/>
          <w:sz w:val="22"/>
          <w:szCs w:val="22"/>
        </w:rPr>
        <w:fldChar w:fldCharType="separate"/>
      </w:r>
      <w:r>
        <w:rPr>
          <w:rFonts w:asciiTheme="minorHAnsi" w:hAnsiTheme="minorHAnsi"/>
          <w:noProof/>
          <w:sz w:val="22"/>
          <w:szCs w:val="22"/>
        </w:rPr>
        <w:t>1</w:t>
      </w:r>
      <w:r>
        <w:rPr>
          <w:rFonts w:asciiTheme="minorHAnsi" w:hAnsiTheme="minorHAnsi"/>
          <w:sz w:val="22"/>
          <w:szCs w:val="22"/>
        </w:rPr>
        <w:fldChar w:fldCharType="end"/>
      </w:r>
      <w:r w:rsidR="006E5119" w:rsidRPr="00F31385">
        <w:rPr>
          <w:rFonts w:asciiTheme="minorHAnsi" w:hAnsiTheme="minorHAnsi"/>
          <w:sz w:val="22"/>
          <w:szCs w:val="22"/>
        </w:rPr>
        <w:t>.</w:t>
      </w:r>
      <w:proofErr w:type="gramEnd"/>
      <w:r w:rsidR="006E5119" w:rsidRPr="00F31385">
        <w:rPr>
          <w:rFonts w:asciiTheme="minorHAnsi" w:hAnsiTheme="minorHAnsi"/>
          <w:sz w:val="22"/>
          <w:szCs w:val="22"/>
        </w:rPr>
        <w:t xml:space="preserve"> Composition of local revenues for the selected sample: relative weights in %</w:t>
      </w:r>
    </w:p>
    <w:tbl>
      <w:tblPr>
        <w:tblW w:w="5000" w:type="pct"/>
        <w:tblLook w:val="04A0" w:firstRow="1" w:lastRow="0" w:firstColumn="1" w:lastColumn="0" w:noHBand="0" w:noVBand="1"/>
      </w:tblPr>
      <w:tblGrid>
        <w:gridCol w:w="646"/>
        <w:gridCol w:w="1340"/>
        <w:gridCol w:w="794"/>
        <w:gridCol w:w="724"/>
        <w:gridCol w:w="794"/>
        <w:gridCol w:w="724"/>
        <w:gridCol w:w="794"/>
        <w:gridCol w:w="724"/>
        <w:gridCol w:w="794"/>
        <w:gridCol w:w="724"/>
        <w:gridCol w:w="794"/>
        <w:gridCol w:w="724"/>
      </w:tblGrid>
      <w:tr w:rsidR="006E5119" w:rsidRPr="00F31385" w14:paraId="6BC0A353" w14:textId="77777777" w:rsidTr="006E5119">
        <w:trPr>
          <w:trHeight w:val="300"/>
        </w:trPr>
        <w:tc>
          <w:tcPr>
            <w:tcW w:w="337" w:type="pct"/>
            <w:tcBorders>
              <w:top w:val="nil"/>
              <w:left w:val="nil"/>
              <w:bottom w:val="nil"/>
              <w:right w:val="nil"/>
            </w:tcBorders>
            <w:shd w:val="clear" w:color="auto" w:fill="auto"/>
            <w:noWrap/>
            <w:vAlign w:val="bottom"/>
            <w:hideMark/>
          </w:tcPr>
          <w:p w14:paraId="095F2580" w14:textId="77777777" w:rsidR="006E5119" w:rsidRPr="00F31385" w:rsidRDefault="006E5119" w:rsidP="006E5119">
            <w:pPr>
              <w:spacing w:after="0"/>
              <w:jc w:val="both"/>
              <w:rPr>
                <w:rFonts w:eastAsia="Times New Roman" w:cs="Times New Roman"/>
                <w:color w:val="000000"/>
                <w:sz w:val="20"/>
                <w:szCs w:val="20"/>
              </w:rPr>
            </w:pPr>
          </w:p>
        </w:tc>
        <w:tc>
          <w:tcPr>
            <w:tcW w:w="700" w:type="pct"/>
            <w:tcBorders>
              <w:top w:val="nil"/>
              <w:left w:val="nil"/>
              <w:bottom w:val="nil"/>
              <w:right w:val="nil"/>
            </w:tcBorders>
            <w:shd w:val="clear" w:color="auto" w:fill="auto"/>
            <w:noWrap/>
            <w:vAlign w:val="bottom"/>
            <w:hideMark/>
          </w:tcPr>
          <w:p w14:paraId="222E62CA" w14:textId="77777777" w:rsidR="006E5119" w:rsidRPr="00F31385" w:rsidRDefault="006E5119" w:rsidP="006E5119">
            <w:pPr>
              <w:spacing w:after="0"/>
              <w:jc w:val="both"/>
              <w:rPr>
                <w:rFonts w:eastAsia="Times New Roman" w:cs="Times New Roman"/>
                <w:color w:val="000000"/>
                <w:sz w:val="20"/>
                <w:szCs w:val="20"/>
              </w:rPr>
            </w:pPr>
          </w:p>
        </w:tc>
        <w:tc>
          <w:tcPr>
            <w:tcW w:w="793" w:type="pct"/>
            <w:gridSpan w:val="2"/>
            <w:tcBorders>
              <w:top w:val="nil"/>
              <w:left w:val="nil"/>
              <w:bottom w:val="nil"/>
              <w:right w:val="nil"/>
            </w:tcBorders>
            <w:shd w:val="clear" w:color="auto" w:fill="auto"/>
            <w:noWrap/>
            <w:vAlign w:val="bottom"/>
            <w:hideMark/>
          </w:tcPr>
          <w:p w14:paraId="68909734"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2008</w:t>
            </w:r>
          </w:p>
        </w:tc>
        <w:tc>
          <w:tcPr>
            <w:tcW w:w="793" w:type="pct"/>
            <w:gridSpan w:val="2"/>
            <w:tcBorders>
              <w:top w:val="nil"/>
              <w:left w:val="nil"/>
              <w:bottom w:val="nil"/>
              <w:right w:val="nil"/>
            </w:tcBorders>
            <w:shd w:val="clear" w:color="auto" w:fill="auto"/>
            <w:noWrap/>
            <w:vAlign w:val="bottom"/>
            <w:hideMark/>
          </w:tcPr>
          <w:p w14:paraId="0E058C19"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2009</w:t>
            </w:r>
          </w:p>
        </w:tc>
        <w:tc>
          <w:tcPr>
            <w:tcW w:w="793" w:type="pct"/>
            <w:gridSpan w:val="2"/>
            <w:tcBorders>
              <w:top w:val="nil"/>
              <w:left w:val="nil"/>
              <w:bottom w:val="nil"/>
              <w:right w:val="nil"/>
            </w:tcBorders>
            <w:shd w:val="clear" w:color="auto" w:fill="auto"/>
            <w:noWrap/>
            <w:vAlign w:val="bottom"/>
            <w:hideMark/>
          </w:tcPr>
          <w:p w14:paraId="05DC4545"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2010</w:t>
            </w:r>
          </w:p>
        </w:tc>
        <w:tc>
          <w:tcPr>
            <w:tcW w:w="793" w:type="pct"/>
            <w:gridSpan w:val="2"/>
            <w:tcBorders>
              <w:top w:val="nil"/>
              <w:left w:val="nil"/>
              <w:bottom w:val="nil"/>
              <w:right w:val="nil"/>
            </w:tcBorders>
            <w:shd w:val="clear" w:color="auto" w:fill="auto"/>
            <w:noWrap/>
            <w:vAlign w:val="bottom"/>
            <w:hideMark/>
          </w:tcPr>
          <w:p w14:paraId="6E5A25A8"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2011</w:t>
            </w:r>
          </w:p>
        </w:tc>
        <w:tc>
          <w:tcPr>
            <w:tcW w:w="793" w:type="pct"/>
            <w:gridSpan w:val="2"/>
            <w:tcBorders>
              <w:top w:val="nil"/>
              <w:left w:val="nil"/>
              <w:bottom w:val="nil"/>
              <w:right w:val="nil"/>
            </w:tcBorders>
            <w:shd w:val="clear" w:color="auto" w:fill="auto"/>
            <w:noWrap/>
            <w:vAlign w:val="bottom"/>
            <w:hideMark/>
          </w:tcPr>
          <w:p w14:paraId="136383B6"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2012</w:t>
            </w:r>
          </w:p>
        </w:tc>
      </w:tr>
      <w:tr w:rsidR="006E5119" w:rsidRPr="00F31385" w14:paraId="0CC73320" w14:textId="77777777" w:rsidTr="006E5119">
        <w:trPr>
          <w:trHeight w:val="300"/>
        </w:trPr>
        <w:tc>
          <w:tcPr>
            <w:tcW w:w="337" w:type="pct"/>
            <w:tcBorders>
              <w:top w:val="nil"/>
              <w:left w:val="nil"/>
              <w:bottom w:val="nil"/>
              <w:right w:val="nil"/>
            </w:tcBorders>
            <w:shd w:val="clear" w:color="auto" w:fill="auto"/>
            <w:noWrap/>
            <w:vAlign w:val="bottom"/>
            <w:hideMark/>
          </w:tcPr>
          <w:p w14:paraId="5846888F" w14:textId="77777777" w:rsidR="006E5119" w:rsidRPr="00F31385" w:rsidRDefault="006E5119" w:rsidP="006E5119">
            <w:pPr>
              <w:spacing w:after="0"/>
              <w:jc w:val="both"/>
              <w:rPr>
                <w:rFonts w:eastAsia="Times New Roman" w:cs="Times New Roman"/>
                <w:color w:val="000000"/>
                <w:sz w:val="20"/>
                <w:szCs w:val="20"/>
              </w:rPr>
            </w:pPr>
          </w:p>
        </w:tc>
        <w:tc>
          <w:tcPr>
            <w:tcW w:w="700" w:type="pct"/>
            <w:tcBorders>
              <w:top w:val="nil"/>
              <w:left w:val="nil"/>
              <w:bottom w:val="nil"/>
              <w:right w:val="nil"/>
            </w:tcBorders>
            <w:shd w:val="clear" w:color="auto" w:fill="auto"/>
            <w:noWrap/>
            <w:vAlign w:val="bottom"/>
            <w:hideMark/>
          </w:tcPr>
          <w:p w14:paraId="24F1B4E3" w14:textId="77777777" w:rsidR="006E5119" w:rsidRPr="00F31385" w:rsidRDefault="006E5119" w:rsidP="006E5119">
            <w:pPr>
              <w:spacing w:after="0"/>
              <w:jc w:val="both"/>
              <w:rPr>
                <w:rFonts w:eastAsia="Times New Roman" w:cs="Times New Roman"/>
                <w:color w:val="000000"/>
                <w:sz w:val="20"/>
                <w:szCs w:val="20"/>
              </w:rPr>
            </w:pPr>
          </w:p>
        </w:tc>
        <w:tc>
          <w:tcPr>
            <w:tcW w:w="415" w:type="pct"/>
            <w:tcBorders>
              <w:top w:val="nil"/>
              <w:left w:val="nil"/>
              <w:bottom w:val="nil"/>
              <w:right w:val="nil"/>
            </w:tcBorders>
            <w:shd w:val="clear" w:color="auto" w:fill="auto"/>
            <w:noWrap/>
            <w:vAlign w:val="bottom"/>
            <w:hideMark/>
          </w:tcPr>
          <w:p w14:paraId="67B52142"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Total sample</w:t>
            </w:r>
          </w:p>
        </w:tc>
        <w:tc>
          <w:tcPr>
            <w:tcW w:w="378" w:type="pct"/>
            <w:tcBorders>
              <w:top w:val="nil"/>
              <w:left w:val="nil"/>
              <w:bottom w:val="nil"/>
              <w:right w:val="nil"/>
            </w:tcBorders>
            <w:shd w:val="clear" w:color="auto" w:fill="auto"/>
            <w:noWrap/>
            <w:vAlign w:val="bottom"/>
            <w:hideMark/>
          </w:tcPr>
          <w:p w14:paraId="2AC9D50B"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W/o Tirana</w:t>
            </w:r>
          </w:p>
        </w:tc>
        <w:tc>
          <w:tcPr>
            <w:tcW w:w="415" w:type="pct"/>
            <w:tcBorders>
              <w:top w:val="nil"/>
              <w:left w:val="nil"/>
              <w:bottom w:val="nil"/>
              <w:right w:val="nil"/>
            </w:tcBorders>
            <w:shd w:val="clear" w:color="auto" w:fill="auto"/>
            <w:noWrap/>
            <w:vAlign w:val="bottom"/>
            <w:hideMark/>
          </w:tcPr>
          <w:p w14:paraId="1BFEC856"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Total sample</w:t>
            </w:r>
          </w:p>
        </w:tc>
        <w:tc>
          <w:tcPr>
            <w:tcW w:w="378" w:type="pct"/>
            <w:tcBorders>
              <w:top w:val="nil"/>
              <w:left w:val="nil"/>
              <w:bottom w:val="nil"/>
              <w:right w:val="nil"/>
            </w:tcBorders>
            <w:shd w:val="clear" w:color="auto" w:fill="auto"/>
            <w:noWrap/>
            <w:vAlign w:val="bottom"/>
            <w:hideMark/>
          </w:tcPr>
          <w:p w14:paraId="18584DB5"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W/o Tirana</w:t>
            </w:r>
          </w:p>
        </w:tc>
        <w:tc>
          <w:tcPr>
            <w:tcW w:w="415" w:type="pct"/>
            <w:tcBorders>
              <w:top w:val="nil"/>
              <w:left w:val="nil"/>
              <w:bottom w:val="nil"/>
              <w:right w:val="nil"/>
            </w:tcBorders>
            <w:shd w:val="clear" w:color="auto" w:fill="auto"/>
            <w:noWrap/>
            <w:vAlign w:val="bottom"/>
            <w:hideMark/>
          </w:tcPr>
          <w:p w14:paraId="0EA9D0A7"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Total sample</w:t>
            </w:r>
          </w:p>
        </w:tc>
        <w:tc>
          <w:tcPr>
            <w:tcW w:w="378" w:type="pct"/>
            <w:tcBorders>
              <w:top w:val="nil"/>
              <w:left w:val="nil"/>
              <w:bottom w:val="nil"/>
              <w:right w:val="nil"/>
            </w:tcBorders>
            <w:shd w:val="clear" w:color="auto" w:fill="auto"/>
            <w:noWrap/>
            <w:vAlign w:val="bottom"/>
            <w:hideMark/>
          </w:tcPr>
          <w:p w14:paraId="23B65D7A"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W/o Tirana</w:t>
            </w:r>
          </w:p>
        </w:tc>
        <w:tc>
          <w:tcPr>
            <w:tcW w:w="415" w:type="pct"/>
            <w:tcBorders>
              <w:top w:val="nil"/>
              <w:left w:val="nil"/>
              <w:bottom w:val="nil"/>
              <w:right w:val="nil"/>
            </w:tcBorders>
            <w:shd w:val="clear" w:color="auto" w:fill="auto"/>
            <w:noWrap/>
            <w:vAlign w:val="bottom"/>
            <w:hideMark/>
          </w:tcPr>
          <w:p w14:paraId="262CDDC0"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Total sample</w:t>
            </w:r>
          </w:p>
        </w:tc>
        <w:tc>
          <w:tcPr>
            <w:tcW w:w="378" w:type="pct"/>
            <w:tcBorders>
              <w:top w:val="nil"/>
              <w:left w:val="nil"/>
              <w:bottom w:val="nil"/>
              <w:right w:val="nil"/>
            </w:tcBorders>
            <w:shd w:val="clear" w:color="auto" w:fill="auto"/>
            <w:noWrap/>
            <w:vAlign w:val="bottom"/>
            <w:hideMark/>
          </w:tcPr>
          <w:p w14:paraId="2243CCB8"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W/o Tirana</w:t>
            </w:r>
          </w:p>
        </w:tc>
        <w:tc>
          <w:tcPr>
            <w:tcW w:w="415" w:type="pct"/>
            <w:tcBorders>
              <w:top w:val="nil"/>
              <w:left w:val="nil"/>
              <w:bottom w:val="nil"/>
              <w:right w:val="nil"/>
            </w:tcBorders>
            <w:shd w:val="clear" w:color="auto" w:fill="auto"/>
            <w:noWrap/>
            <w:vAlign w:val="bottom"/>
            <w:hideMark/>
          </w:tcPr>
          <w:p w14:paraId="1E116AA4"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Total sample</w:t>
            </w:r>
          </w:p>
        </w:tc>
        <w:tc>
          <w:tcPr>
            <w:tcW w:w="378" w:type="pct"/>
            <w:tcBorders>
              <w:top w:val="nil"/>
              <w:left w:val="nil"/>
              <w:bottom w:val="nil"/>
              <w:right w:val="nil"/>
            </w:tcBorders>
            <w:shd w:val="clear" w:color="auto" w:fill="auto"/>
            <w:noWrap/>
            <w:vAlign w:val="bottom"/>
            <w:hideMark/>
          </w:tcPr>
          <w:p w14:paraId="1D34C71C"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W/o Tirana</w:t>
            </w:r>
          </w:p>
        </w:tc>
      </w:tr>
      <w:tr w:rsidR="006E5119" w:rsidRPr="00F31385" w14:paraId="62C9C20A" w14:textId="77777777" w:rsidTr="006E5119">
        <w:trPr>
          <w:trHeight w:val="300"/>
        </w:trPr>
        <w:tc>
          <w:tcPr>
            <w:tcW w:w="1037" w:type="pct"/>
            <w:gridSpan w:val="2"/>
            <w:tcBorders>
              <w:top w:val="nil"/>
              <w:left w:val="nil"/>
              <w:bottom w:val="nil"/>
              <w:right w:val="nil"/>
            </w:tcBorders>
            <w:shd w:val="clear" w:color="auto" w:fill="auto"/>
            <w:noWrap/>
            <w:vAlign w:val="bottom"/>
            <w:hideMark/>
          </w:tcPr>
          <w:p w14:paraId="5100FDB5"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Population</w:t>
            </w:r>
          </w:p>
        </w:tc>
        <w:tc>
          <w:tcPr>
            <w:tcW w:w="415" w:type="pct"/>
            <w:tcBorders>
              <w:top w:val="nil"/>
              <w:left w:val="nil"/>
              <w:bottom w:val="nil"/>
              <w:right w:val="nil"/>
            </w:tcBorders>
            <w:shd w:val="clear" w:color="auto" w:fill="auto"/>
            <w:noWrap/>
            <w:vAlign w:val="bottom"/>
            <w:hideMark/>
          </w:tcPr>
          <w:p w14:paraId="2E11F39A"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47.4</w:t>
            </w:r>
          </w:p>
        </w:tc>
        <w:tc>
          <w:tcPr>
            <w:tcW w:w="378" w:type="pct"/>
            <w:tcBorders>
              <w:top w:val="nil"/>
              <w:left w:val="nil"/>
              <w:bottom w:val="nil"/>
              <w:right w:val="nil"/>
            </w:tcBorders>
            <w:shd w:val="clear" w:color="auto" w:fill="auto"/>
            <w:noWrap/>
            <w:vAlign w:val="bottom"/>
            <w:hideMark/>
          </w:tcPr>
          <w:p w14:paraId="01BB358A"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33.2</w:t>
            </w:r>
          </w:p>
        </w:tc>
        <w:tc>
          <w:tcPr>
            <w:tcW w:w="415" w:type="pct"/>
            <w:tcBorders>
              <w:top w:val="nil"/>
              <w:left w:val="nil"/>
              <w:bottom w:val="nil"/>
              <w:right w:val="nil"/>
            </w:tcBorders>
            <w:shd w:val="clear" w:color="auto" w:fill="auto"/>
            <w:noWrap/>
            <w:vAlign w:val="bottom"/>
            <w:hideMark/>
          </w:tcPr>
          <w:p w14:paraId="06019367"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47.4</w:t>
            </w:r>
          </w:p>
        </w:tc>
        <w:tc>
          <w:tcPr>
            <w:tcW w:w="378" w:type="pct"/>
            <w:tcBorders>
              <w:top w:val="nil"/>
              <w:left w:val="nil"/>
              <w:bottom w:val="nil"/>
              <w:right w:val="nil"/>
            </w:tcBorders>
            <w:shd w:val="clear" w:color="auto" w:fill="auto"/>
            <w:noWrap/>
            <w:vAlign w:val="bottom"/>
            <w:hideMark/>
          </w:tcPr>
          <w:p w14:paraId="0580869A"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33.2</w:t>
            </w:r>
          </w:p>
        </w:tc>
        <w:tc>
          <w:tcPr>
            <w:tcW w:w="415" w:type="pct"/>
            <w:tcBorders>
              <w:top w:val="nil"/>
              <w:left w:val="nil"/>
              <w:bottom w:val="nil"/>
              <w:right w:val="nil"/>
            </w:tcBorders>
            <w:shd w:val="clear" w:color="auto" w:fill="auto"/>
            <w:noWrap/>
            <w:vAlign w:val="bottom"/>
            <w:hideMark/>
          </w:tcPr>
          <w:p w14:paraId="2EB8848C"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48.0</w:t>
            </w:r>
          </w:p>
        </w:tc>
        <w:tc>
          <w:tcPr>
            <w:tcW w:w="378" w:type="pct"/>
            <w:tcBorders>
              <w:top w:val="nil"/>
              <w:left w:val="nil"/>
              <w:bottom w:val="nil"/>
              <w:right w:val="nil"/>
            </w:tcBorders>
            <w:shd w:val="clear" w:color="auto" w:fill="auto"/>
            <w:noWrap/>
            <w:vAlign w:val="bottom"/>
            <w:hideMark/>
          </w:tcPr>
          <w:p w14:paraId="77C1CBCC"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33.6%</w:t>
            </w:r>
          </w:p>
        </w:tc>
        <w:tc>
          <w:tcPr>
            <w:tcW w:w="415" w:type="pct"/>
            <w:tcBorders>
              <w:top w:val="nil"/>
              <w:left w:val="nil"/>
              <w:bottom w:val="nil"/>
              <w:right w:val="nil"/>
            </w:tcBorders>
            <w:shd w:val="clear" w:color="auto" w:fill="auto"/>
            <w:noWrap/>
            <w:vAlign w:val="bottom"/>
            <w:hideMark/>
          </w:tcPr>
          <w:p w14:paraId="60B43B5B"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48.1%</w:t>
            </w:r>
          </w:p>
        </w:tc>
        <w:tc>
          <w:tcPr>
            <w:tcW w:w="378" w:type="pct"/>
            <w:tcBorders>
              <w:top w:val="nil"/>
              <w:left w:val="nil"/>
              <w:bottom w:val="nil"/>
              <w:right w:val="nil"/>
            </w:tcBorders>
            <w:shd w:val="clear" w:color="auto" w:fill="auto"/>
            <w:noWrap/>
            <w:vAlign w:val="bottom"/>
            <w:hideMark/>
          </w:tcPr>
          <w:p w14:paraId="7D5601C6"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33.7%</w:t>
            </w:r>
          </w:p>
        </w:tc>
        <w:tc>
          <w:tcPr>
            <w:tcW w:w="415" w:type="pct"/>
            <w:tcBorders>
              <w:top w:val="nil"/>
              <w:left w:val="nil"/>
              <w:bottom w:val="nil"/>
              <w:right w:val="nil"/>
            </w:tcBorders>
            <w:shd w:val="clear" w:color="auto" w:fill="auto"/>
            <w:noWrap/>
            <w:vAlign w:val="bottom"/>
            <w:hideMark/>
          </w:tcPr>
          <w:p w14:paraId="678F0276"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48.1%</w:t>
            </w:r>
          </w:p>
        </w:tc>
        <w:tc>
          <w:tcPr>
            <w:tcW w:w="378" w:type="pct"/>
            <w:tcBorders>
              <w:top w:val="nil"/>
              <w:left w:val="nil"/>
              <w:bottom w:val="nil"/>
              <w:right w:val="nil"/>
            </w:tcBorders>
            <w:shd w:val="clear" w:color="auto" w:fill="auto"/>
            <w:noWrap/>
            <w:vAlign w:val="bottom"/>
            <w:hideMark/>
          </w:tcPr>
          <w:p w14:paraId="745E5AAE"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33.7%</w:t>
            </w:r>
          </w:p>
        </w:tc>
      </w:tr>
      <w:tr w:rsidR="006E5119" w:rsidRPr="00F31385" w14:paraId="74C5C80B" w14:textId="77777777" w:rsidTr="006E5119">
        <w:trPr>
          <w:trHeight w:val="300"/>
        </w:trPr>
        <w:tc>
          <w:tcPr>
            <w:tcW w:w="1037" w:type="pct"/>
            <w:gridSpan w:val="2"/>
            <w:tcBorders>
              <w:top w:val="nil"/>
              <w:left w:val="nil"/>
              <w:bottom w:val="nil"/>
              <w:right w:val="nil"/>
            </w:tcBorders>
            <w:shd w:val="clear" w:color="auto" w:fill="auto"/>
            <w:noWrap/>
            <w:vAlign w:val="bottom"/>
            <w:hideMark/>
          </w:tcPr>
          <w:p w14:paraId="7125EB26"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Total revenues</w:t>
            </w:r>
          </w:p>
        </w:tc>
        <w:tc>
          <w:tcPr>
            <w:tcW w:w="415" w:type="pct"/>
            <w:tcBorders>
              <w:top w:val="nil"/>
              <w:left w:val="nil"/>
              <w:bottom w:val="nil"/>
              <w:right w:val="nil"/>
            </w:tcBorders>
            <w:shd w:val="clear" w:color="auto" w:fill="auto"/>
            <w:noWrap/>
            <w:vAlign w:val="bottom"/>
            <w:hideMark/>
          </w:tcPr>
          <w:p w14:paraId="56BAF1C3"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51.0</w:t>
            </w:r>
          </w:p>
        </w:tc>
        <w:tc>
          <w:tcPr>
            <w:tcW w:w="378" w:type="pct"/>
            <w:tcBorders>
              <w:top w:val="nil"/>
              <w:left w:val="nil"/>
              <w:bottom w:val="nil"/>
              <w:right w:val="nil"/>
            </w:tcBorders>
            <w:shd w:val="clear" w:color="auto" w:fill="auto"/>
            <w:noWrap/>
            <w:vAlign w:val="bottom"/>
            <w:hideMark/>
          </w:tcPr>
          <w:p w14:paraId="5CD9A17A"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31.7</w:t>
            </w:r>
          </w:p>
        </w:tc>
        <w:tc>
          <w:tcPr>
            <w:tcW w:w="415" w:type="pct"/>
            <w:tcBorders>
              <w:top w:val="nil"/>
              <w:left w:val="nil"/>
              <w:bottom w:val="nil"/>
              <w:right w:val="nil"/>
            </w:tcBorders>
            <w:shd w:val="clear" w:color="auto" w:fill="auto"/>
            <w:noWrap/>
            <w:vAlign w:val="bottom"/>
            <w:hideMark/>
          </w:tcPr>
          <w:p w14:paraId="2414A4C8"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49.1</w:t>
            </w:r>
          </w:p>
        </w:tc>
        <w:tc>
          <w:tcPr>
            <w:tcW w:w="378" w:type="pct"/>
            <w:tcBorders>
              <w:top w:val="nil"/>
              <w:left w:val="nil"/>
              <w:bottom w:val="nil"/>
              <w:right w:val="nil"/>
            </w:tcBorders>
            <w:shd w:val="clear" w:color="auto" w:fill="auto"/>
            <w:noWrap/>
            <w:vAlign w:val="bottom"/>
            <w:hideMark/>
          </w:tcPr>
          <w:p w14:paraId="47024FDE"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35.1</w:t>
            </w:r>
          </w:p>
        </w:tc>
        <w:tc>
          <w:tcPr>
            <w:tcW w:w="415" w:type="pct"/>
            <w:tcBorders>
              <w:top w:val="nil"/>
              <w:left w:val="nil"/>
              <w:bottom w:val="nil"/>
              <w:right w:val="nil"/>
            </w:tcBorders>
            <w:shd w:val="clear" w:color="auto" w:fill="auto"/>
            <w:noWrap/>
            <w:vAlign w:val="bottom"/>
            <w:hideMark/>
          </w:tcPr>
          <w:p w14:paraId="3EBECEDE"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51.6</w:t>
            </w:r>
          </w:p>
        </w:tc>
        <w:tc>
          <w:tcPr>
            <w:tcW w:w="378" w:type="pct"/>
            <w:tcBorders>
              <w:top w:val="nil"/>
              <w:left w:val="nil"/>
              <w:bottom w:val="nil"/>
              <w:right w:val="nil"/>
            </w:tcBorders>
            <w:shd w:val="clear" w:color="auto" w:fill="auto"/>
            <w:noWrap/>
            <w:vAlign w:val="bottom"/>
            <w:hideMark/>
          </w:tcPr>
          <w:p w14:paraId="3912DE9C"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38.1%</w:t>
            </w:r>
          </w:p>
        </w:tc>
        <w:tc>
          <w:tcPr>
            <w:tcW w:w="415" w:type="pct"/>
            <w:tcBorders>
              <w:top w:val="nil"/>
              <w:left w:val="nil"/>
              <w:bottom w:val="nil"/>
              <w:right w:val="nil"/>
            </w:tcBorders>
            <w:shd w:val="clear" w:color="auto" w:fill="auto"/>
            <w:noWrap/>
            <w:vAlign w:val="bottom"/>
            <w:hideMark/>
          </w:tcPr>
          <w:p w14:paraId="23F2D6D9"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51.2%</w:t>
            </w:r>
          </w:p>
        </w:tc>
        <w:tc>
          <w:tcPr>
            <w:tcW w:w="378" w:type="pct"/>
            <w:tcBorders>
              <w:top w:val="nil"/>
              <w:left w:val="nil"/>
              <w:bottom w:val="nil"/>
              <w:right w:val="nil"/>
            </w:tcBorders>
            <w:shd w:val="clear" w:color="auto" w:fill="auto"/>
            <w:noWrap/>
            <w:vAlign w:val="bottom"/>
            <w:hideMark/>
          </w:tcPr>
          <w:p w14:paraId="362903F2"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37.3%</w:t>
            </w:r>
          </w:p>
        </w:tc>
        <w:tc>
          <w:tcPr>
            <w:tcW w:w="415" w:type="pct"/>
            <w:tcBorders>
              <w:top w:val="nil"/>
              <w:left w:val="nil"/>
              <w:bottom w:val="nil"/>
              <w:right w:val="nil"/>
            </w:tcBorders>
            <w:shd w:val="clear" w:color="auto" w:fill="auto"/>
            <w:noWrap/>
            <w:vAlign w:val="bottom"/>
            <w:hideMark/>
          </w:tcPr>
          <w:p w14:paraId="5E892ED5"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38.4%</w:t>
            </w:r>
          </w:p>
        </w:tc>
        <w:tc>
          <w:tcPr>
            <w:tcW w:w="378" w:type="pct"/>
            <w:tcBorders>
              <w:top w:val="nil"/>
              <w:left w:val="nil"/>
              <w:bottom w:val="nil"/>
              <w:right w:val="nil"/>
            </w:tcBorders>
            <w:shd w:val="clear" w:color="auto" w:fill="auto"/>
            <w:noWrap/>
            <w:vAlign w:val="bottom"/>
            <w:hideMark/>
          </w:tcPr>
          <w:p w14:paraId="4FD68C00"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25.3%</w:t>
            </w:r>
          </w:p>
        </w:tc>
      </w:tr>
      <w:tr w:rsidR="006E5119" w:rsidRPr="00F31385" w14:paraId="1831608C" w14:textId="77777777" w:rsidTr="006E5119">
        <w:trPr>
          <w:trHeight w:val="300"/>
        </w:trPr>
        <w:tc>
          <w:tcPr>
            <w:tcW w:w="1037" w:type="pct"/>
            <w:gridSpan w:val="2"/>
            <w:tcBorders>
              <w:top w:val="nil"/>
              <w:left w:val="nil"/>
              <w:bottom w:val="nil"/>
              <w:right w:val="nil"/>
            </w:tcBorders>
            <w:shd w:val="clear" w:color="auto" w:fill="auto"/>
            <w:noWrap/>
            <w:vAlign w:val="bottom"/>
            <w:hideMark/>
          </w:tcPr>
          <w:p w14:paraId="62984B59"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Total own source revenues</w:t>
            </w:r>
          </w:p>
        </w:tc>
        <w:tc>
          <w:tcPr>
            <w:tcW w:w="415" w:type="pct"/>
            <w:tcBorders>
              <w:top w:val="nil"/>
              <w:left w:val="nil"/>
              <w:bottom w:val="nil"/>
              <w:right w:val="nil"/>
            </w:tcBorders>
            <w:shd w:val="clear" w:color="auto" w:fill="auto"/>
            <w:noWrap/>
            <w:vAlign w:val="bottom"/>
            <w:hideMark/>
          </w:tcPr>
          <w:p w14:paraId="078F9131"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72.8</w:t>
            </w:r>
          </w:p>
        </w:tc>
        <w:tc>
          <w:tcPr>
            <w:tcW w:w="378" w:type="pct"/>
            <w:tcBorders>
              <w:top w:val="nil"/>
              <w:left w:val="nil"/>
              <w:bottom w:val="nil"/>
              <w:right w:val="nil"/>
            </w:tcBorders>
            <w:shd w:val="clear" w:color="auto" w:fill="auto"/>
            <w:noWrap/>
            <w:vAlign w:val="bottom"/>
            <w:hideMark/>
          </w:tcPr>
          <w:p w14:paraId="29C1C1F2"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40.8</w:t>
            </w:r>
          </w:p>
        </w:tc>
        <w:tc>
          <w:tcPr>
            <w:tcW w:w="415" w:type="pct"/>
            <w:tcBorders>
              <w:top w:val="nil"/>
              <w:left w:val="nil"/>
              <w:bottom w:val="nil"/>
              <w:right w:val="nil"/>
            </w:tcBorders>
            <w:shd w:val="clear" w:color="auto" w:fill="auto"/>
            <w:noWrap/>
            <w:vAlign w:val="bottom"/>
            <w:hideMark/>
          </w:tcPr>
          <w:p w14:paraId="093A1CC9"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74.0</w:t>
            </w:r>
          </w:p>
        </w:tc>
        <w:tc>
          <w:tcPr>
            <w:tcW w:w="378" w:type="pct"/>
            <w:tcBorders>
              <w:top w:val="nil"/>
              <w:left w:val="nil"/>
              <w:bottom w:val="nil"/>
              <w:right w:val="nil"/>
            </w:tcBorders>
            <w:shd w:val="clear" w:color="auto" w:fill="auto"/>
            <w:noWrap/>
            <w:vAlign w:val="bottom"/>
            <w:hideMark/>
          </w:tcPr>
          <w:p w14:paraId="156F0385"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43.0</w:t>
            </w:r>
          </w:p>
        </w:tc>
        <w:tc>
          <w:tcPr>
            <w:tcW w:w="415" w:type="pct"/>
            <w:tcBorders>
              <w:top w:val="nil"/>
              <w:left w:val="nil"/>
              <w:bottom w:val="nil"/>
              <w:right w:val="nil"/>
            </w:tcBorders>
            <w:shd w:val="clear" w:color="auto" w:fill="auto"/>
            <w:noWrap/>
            <w:vAlign w:val="bottom"/>
            <w:hideMark/>
          </w:tcPr>
          <w:p w14:paraId="5EE6B724"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75.2</w:t>
            </w:r>
          </w:p>
        </w:tc>
        <w:tc>
          <w:tcPr>
            <w:tcW w:w="378" w:type="pct"/>
            <w:tcBorders>
              <w:top w:val="nil"/>
              <w:left w:val="nil"/>
              <w:bottom w:val="nil"/>
              <w:right w:val="nil"/>
            </w:tcBorders>
            <w:shd w:val="clear" w:color="auto" w:fill="auto"/>
            <w:noWrap/>
            <w:vAlign w:val="bottom"/>
            <w:hideMark/>
          </w:tcPr>
          <w:p w14:paraId="540CD843"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46.8%</w:t>
            </w:r>
          </w:p>
        </w:tc>
        <w:tc>
          <w:tcPr>
            <w:tcW w:w="415" w:type="pct"/>
            <w:tcBorders>
              <w:top w:val="nil"/>
              <w:left w:val="nil"/>
              <w:bottom w:val="nil"/>
              <w:right w:val="nil"/>
            </w:tcBorders>
            <w:shd w:val="clear" w:color="auto" w:fill="auto"/>
            <w:noWrap/>
            <w:vAlign w:val="bottom"/>
            <w:hideMark/>
          </w:tcPr>
          <w:p w14:paraId="0BD169AB"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73.1%</w:t>
            </w:r>
          </w:p>
        </w:tc>
        <w:tc>
          <w:tcPr>
            <w:tcW w:w="378" w:type="pct"/>
            <w:tcBorders>
              <w:top w:val="nil"/>
              <w:left w:val="nil"/>
              <w:bottom w:val="nil"/>
              <w:right w:val="nil"/>
            </w:tcBorders>
            <w:shd w:val="clear" w:color="auto" w:fill="auto"/>
            <w:noWrap/>
            <w:vAlign w:val="bottom"/>
            <w:hideMark/>
          </w:tcPr>
          <w:p w14:paraId="7BCF8B1A"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46.6%</w:t>
            </w:r>
          </w:p>
        </w:tc>
        <w:tc>
          <w:tcPr>
            <w:tcW w:w="415" w:type="pct"/>
            <w:tcBorders>
              <w:top w:val="nil"/>
              <w:left w:val="nil"/>
              <w:bottom w:val="nil"/>
              <w:right w:val="nil"/>
            </w:tcBorders>
            <w:shd w:val="clear" w:color="auto" w:fill="auto"/>
            <w:noWrap/>
            <w:vAlign w:val="bottom"/>
            <w:hideMark/>
          </w:tcPr>
          <w:p w14:paraId="6418574F"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71.2%</w:t>
            </w:r>
          </w:p>
        </w:tc>
        <w:tc>
          <w:tcPr>
            <w:tcW w:w="378" w:type="pct"/>
            <w:tcBorders>
              <w:top w:val="nil"/>
              <w:left w:val="nil"/>
              <w:bottom w:val="nil"/>
              <w:right w:val="nil"/>
            </w:tcBorders>
            <w:shd w:val="clear" w:color="auto" w:fill="auto"/>
            <w:noWrap/>
            <w:vAlign w:val="bottom"/>
            <w:hideMark/>
          </w:tcPr>
          <w:p w14:paraId="14DA5D13"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40.3%</w:t>
            </w:r>
          </w:p>
        </w:tc>
      </w:tr>
      <w:tr w:rsidR="006E5119" w:rsidRPr="00F31385" w14:paraId="2064849D" w14:textId="77777777" w:rsidTr="006E5119">
        <w:trPr>
          <w:trHeight w:val="300"/>
        </w:trPr>
        <w:tc>
          <w:tcPr>
            <w:tcW w:w="337" w:type="pct"/>
            <w:tcBorders>
              <w:top w:val="nil"/>
              <w:left w:val="nil"/>
              <w:bottom w:val="nil"/>
              <w:right w:val="nil"/>
            </w:tcBorders>
            <w:shd w:val="clear" w:color="auto" w:fill="auto"/>
            <w:noWrap/>
            <w:vAlign w:val="bottom"/>
            <w:hideMark/>
          </w:tcPr>
          <w:p w14:paraId="395188A4"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Of which:</w:t>
            </w:r>
          </w:p>
        </w:tc>
        <w:tc>
          <w:tcPr>
            <w:tcW w:w="700" w:type="pct"/>
            <w:tcBorders>
              <w:top w:val="nil"/>
              <w:left w:val="nil"/>
              <w:bottom w:val="nil"/>
              <w:right w:val="nil"/>
            </w:tcBorders>
            <w:shd w:val="clear" w:color="auto" w:fill="auto"/>
            <w:noWrap/>
            <w:vAlign w:val="bottom"/>
            <w:hideMark/>
          </w:tcPr>
          <w:p w14:paraId="07F3D4BF"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Small business tax</w:t>
            </w:r>
          </w:p>
        </w:tc>
        <w:tc>
          <w:tcPr>
            <w:tcW w:w="415" w:type="pct"/>
            <w:tcBorders>
              <w:top w:val="nil"/>
              <w:left w:val="nil"/>
              <w:bottom w:val="nil"/>
              <w:right w:val="nil"/>
            </w:tcBorders>
            <w:shd w:val="clear" w:color="auto" w:fill="auto"/>
            <w:noWrap/>
            <w:vAlign w:val="bottom"/>
            <w:hideMark/>
          </w:tcPr>
          <w:p w14:paraId="30355CB5"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80.7</w:t>
            </w:r>
          </w:p>
        </w:tc>
        <w:tc>
          <w:tcPr>
            <w:tcW w:w="378" w:type="pct"/>
            <w:tcBorders>
              <w:top w:val="nil"/>
              <w:left w:val="nil"/>
              <w:bottom w:val="nil"/>
              <w:right w:val="nil"/>
            </w:tcBorders>
            <w:shd w:val="clear" w:color="auto" w:fill="auto"/>
            <w:noWrap/>
            <w:vAlign w:val="bottom"/>
            <w:hideMark/>
          </w:tcPr>
          <w:p w14:paraId="0A3263E0"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42.8</w:t>
            </w:r>
          </w:p>
        </w:tc>
        <w:tc>
          <w:tcPr>
            <w:tcW w:w="415" w:type="pct"/>
            <w:tcBorders>
              <w:top w:val="nil"/>
              <w:left w:val="nil"/>
              <w:bottom w:val="nil"/>
              <w:right w:val="nil"/>
            </w:tcBorders>
            <w:shd w:val="clear" w:color="auto" w:fill="auto"/>
            <w:noWrap/>
            <w:vAlign w:val="bottom"/>
            <w:hideMark/>
          </w:tcPr>
          <w:p w14:paraId="4A2E2CDD"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81.8</w:t>
            </w:r>
          </w:p>
        </w:tc>
        <w:tc>
          <w:tcPr>
            <w:tcW w:w="378" w:type="pct"/>
            <w:tcBorders>
              <w:top w:val="nil"/>
              <w:left w:val="nil"/>
              <w:bottom w:val="nil"/>
              <w:right w:val="nil"/>
            </w:tcBorders>
            <w:shd w:val="clear" w:color="auto" w:fill="auto"/>
            <w:noWrap/>
            <w:vAlign w:val="bottom"/>
            <w:hideMark/>
          </w:tcPr>
          <w:p w14:paraId="687C05BB"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45.9</w:t>
            </w:r>
          </w:p>
        </w:tc>
        <w:tc>
          <w:tcPr>
            <w:tcW w:w="415" w:type="pct"/>
            <w:tcBorders>
              <w:top w:val="nil"/>
              <w:left w:val="nil"/>
              <w:bottom w:val="nil"/>
              <w:right w:val="nil"/>
            </w:tcBorders>
            <w:shd w:val="clear" w:color="auto" w:fill="auto"/>
            <w:noWrap/>
            <w:vAlign w:val="bottom"/>
            <w:hideMark/>
          </w:tcPr>
          <w:p w14:paraId="78F4C2E7"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83.6</w:t>
            </w:r>
          </w:p>
        </w:tc>
        <w:tc>
          <w:tcPr>
            <w:tcW w:w="378" w:type="pct"/>
            <w:tcBorders>
              <w:top w:val="nil"/>
              <w:left w:val="nil"/>
              <w:bottom w:val="nil"/>
              <w:right w:val="nil"/>
            </w:tcBorders>
            <w:shd w:val="clear" w:color="auto" w:fill="auto"/>
            <w:noWrap/>
            <w:vAlign w:val="bottom"/>
            <w:hideMark/>
          </w:tcPr>
          <w:p w14:paraId="60E60E4E"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46.1%</w:t>
            </w:r>
          </w:p>
        </w:tc>
        <w:tc>
          <w:tcPr>
            <w:tcW w:w="415" w:type="pct"/>
            <w:tcBorders>
              <w:top w:val="nil"/>
              <w:left w:val="nil"/>
              <w:bottom w:val="nil"/>
              <w:right w:val="nil"/>
            </w:tcBorders>
            <w:shd w:val="clear" w:color="auto" w:fill="auto"/>
            <w:noWrap/>
            <w:vAlign w:val="bottom"/>
            <w:hideMark/>
          </w:tcPr>
          <w:p w14:paraId="74BF9FDF"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81.4%</w:t>
            </w:r>
          </w:p>
        </w:tc>
        <w:tc>
          <w:tcPr>
            <w:tcW w:w="378" w:type="pct"/>
            <w:tcBorders>
              <w:top w:val="nil"/>
              <w:left w:val="nil"/>
              <w:bottom w:val="nil"/>
              <w:right w:val="nil"/>
            </w:tcBorders>
            <w:shd w:val="clear" w:color="auto" w:fill="auto"/>
            <w:noWrap/>
            <w:vAlign w:val="bottom"/>
            <w:hideMark/>
          </w:tcPr>
          <w:p w14:paraId="76653089"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45.0%</w:t>
            </w:r>
          </w:p>
        </w:tc>
        <w:tc>
          <w:tcPr>
            <w:tcW w:w="415" w:type="pct"/>
            <w:tcBorders>
              <w:top w:val="nil"/>
              <w:left w:val="nil"/>
              <w:bottom w:val="nil"/>
              <w:right w:val="nil"/>
            </w:tcBorders>
            <w:shd w:val="clear" w:color="auto" w:fill="auto"/>
            <w:noWrap/>
            <w:vAlign w:val="bottom"/>
            <w:hideMark/>
          </w:tcPr>
          <w:p w14:paraId="2303E1CC"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80.4%</w:t>
            </w:r>
          </w:p>
        </w:tc>
        <w:tc>
          <w:tcPr>
            <w:tcW w:w="378" w:type="pct"/>
            <w:tcBorders>
              <w:top w:val="nil"/>
              <w:left w:val="nil"/>
              <w:bottom w:val="nil"/>
              <w:right w:val="nil"/>
            </w:tcBorders>
            <w:shd w:val="clear" w:color="auto" w:fill="auto"/>
            <w:noWrap/>
            <w:vAlign w:val="bottom"/>
            <w:hideMark/>
          </w:tcPr>
          <w:p w14:paraId="66FA037B"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41.8%</w:t>
            </w:r>
          </w:p>
        </w:tc>
      </w:tr>
      <w:tr w:rsidR="006E5119" w:rsidRPr="00F31385" w14:paraId="18577B69" w14:textId="77777777" w:rsidTr="006E5119">
        <w:trPr>
          <w:trHeight w:val="300"/>
        </w:trPr>
        <w:tc>
          <w:tcPr>
            <w:tcW w:w="337" w:type="pct"/>
            <w:tcBorders>
              <w:top w:val="nil"/>
              <w:left w:val="nil"/>
              <w:bottom w:val="nil"/>
              <w:right w:val="nil"/>
            </w:tcBorders>
            <w:shd w:val="clear" w:color="auto" w:fill="auto"/>
            <w:noWrap/>
            <w:vAlign w:val="bottom"/>
            <w:hideMark/>
          </w:tcPr>
          <w:p w14:paraId="4B404956" w14:textId="77777777" w:rsidR="006E5119" w:rsidRPr="00F31385" w:rsidRDefault="006E5119" w:rsidP="006E5119">
            <w:pPr>
              <w:spacing w:after="0"/>
              <w:jc w:val="both"/>
              <w:rPr>
                <w:rFonts w:eastAsia="Times New Roman" w:cs="Times New Roman"/>
                <w:color w:val="000000"/>
                <w:sz w:val="20"/>
                <w:szCs w:val="20"/>
              </w:rPr>
            </w:pPr>
          </w:p>
        </w:tc>
        <w:tc>
          <w:tcPr>
            <w:tcW w:w="700" w:type="pct"/>
            <w:tcBorders>
              <w:top w:val="nil"/>
              <w:left w:val="nil"/>
              <w:bottom w:val="nil"/>
              <w:right w:val="nil"/>
            </w:tcBorders>
            <w:shd w:val="clear" w:color="auto" w:fill="auto"/>
            <w:noWrap/>
            <w:vAlign w:val="bottom"/>
            <w:hideMark/>
          </w:tcPr>
          <w:p w14:paraId="7C4A3AF6"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Property tax</w:t>
            </w:r>
          </w:p>
        </w:tc>
        <w:tc>
          <w:tcPr>
            <w:tcW w:w="415" w:type="pct"/>
            <w:tcBorders>
              <w:top w:val="nil"/>
              <w:left w:val="nil"/>
              <w:bottom w:val="nil"/>
              <w:right w:val="nil"/>
            </w:tcBorders>
            <w:shd w:val="clear" w:color="auto" w:fill="auto"/>
            <w:noWrap/>
            <w:vAlign w:val="bottom"/>
            <w:hideMark/>
          </w:tcPr>
          <w:p w14:paraId="46C4DD96"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52.3</w:t>
            </w:r>
          </w:p>
        </w:tc>
        <w:tc>
          <w:tcPr>
            <w:tcW w:w="378" w:type="pct"/>
            <w:tcBorders>
              <w:top w:val="nil"/>
              <w:left w:val="nil"/>
              <w:bottom w:val="nil"/>
              <w:right w:val="nil"/>
            </w:tcBorders>
            <w:shd w:val="clear" w:color="auto" w:fill="auto"/>
            <w:noWrap/>
            <w:vAlign w:val="bottom"/>
            <w:hideMark/>
          </w:tcPr>
          <w:p w14:paraId="0975A4D4"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29.0</w:t>
            </w:r>
          </w:p>
        </w:tc>
        <w:tc>
          <w:tcPr>
            <w:tcW w:w="415" w:type="pct"/>
            <w:tcBorders>
              <w:top w:val="nil"/>
              <w:left w:val="nil"/>
              <w:bottom w:val="nil"/>
              <w:right w:val="nil"/>
            </w:tcBorders>
            <w:shd w:val="clear" w:color="auto" w:fill="auto"/>
            <w:noWrap/>
            <w:vAlign w:val="bottom"/>
            <w:hideMark/>
          </w:tcPr>
          <w:p w14:paraId="01410A9F"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56.4</w:t>
            </w:r>
          </w:p>
        </w:tc>
        <w:tc>
          <w:tcPr>
            <w:tcW w:w="378" w:type="pct"/>
            <w:tcBorders>
              <w:top w:val="nil"/>
              <w:left w:val="nil"/>
              <w:bottom w:val="nil"/>
              <w:right w:val="nil"/>
            </w:tcBorders>
            <w:shd w:val="clear" w:color="auto" w:fill="auto"/>
            <w:noWrap/>
            <w:vAlign w:val="bottom"/>
            <w:hideMark/>
          </w:tcPr>
          <w:p w14:paraId="374132AE"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31.4</w:t>
            </w:r>
          </w:p>
        </w:tc>
        <w:tc>
          <w:tcPr>
            <w:tcW w:w="415" w:type="pct"/>
            <w:tcBorders>
              <w:top w:val="nil"/>
              <w:left w:val="nil"/>
              <w:bottom w:val="nil"/>
              <w:right w:val="nil"/>
            </w:tcBorders>
            <w:shd w:val="clear" w:color="auto" w:fill="auto"/>
            <w:noWrap/>
            <w:vAlign w:val="bottom"/>
            <w:hideMark/>
          </w:tcPr>
          <w:p w14:paraId="5B420A89"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60.6</w:t>
            </w:r>
          </w:p>
        </w:tc>
        <w:tc>
          <w:tcPr>
            <w:tcW w:w="378" w:type="pct"/>
            <w:tcBorders>
              <w:top w:val="nil"/>
              <w:left w:val="nil"/>
              <w:bottom w:val="nil"/>
              <w:right w:val="nil"/>
            </w:tcBorders>
            <w:shd w:val="clear" w:color="auto" w:fill="auto"/>
            <w:noWrap/>
            <w:vAlign w:val="bottom"/>
            <w:hideMark/>
          </w:tcPr>
          <w:p w14:paraId="0F9B2076"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39.5%</w:t>
            </w:r>
          </w:p>
        </w:tc>
        <w:tc>
          <w:tcPr>
            <w:tcW w:w="415" w:type="pct"/>
            <w:tcBorders>
              <w:top w:val="nil"/>
              <w:left w:val="nil"/>
              <w:bottom w:val="nil"/>
              <w:right w:val="nil"/>
            </w:tcBorders>
            <w:shd w:val="clear" w:color="auto" w:fill="auto"/>
            <w:noWrap/>
            <w:vAlign w:val="bottom"/>
            <w:hideMark/>
          </w:tcPr>
          <w:p w14:paraId="4D38F78E"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62.0%</w:t>
            </w:r>
          </w:p>
        </w:tc>
        <w:tc>
          <w:tcPr>
            <w:tcW w:w="378" w:type="pct"/>
            <w:tcBorders>
              <w:top w:val="nil"/>
              <w:left w:val="nil"/>
              <w:bottom w:val="nil"/>
              <w:right w:val="nil"/>
            </w:tcBorders>
            <w:shd w:val="clear" w:color="auto" w:fill="auto"/>
            <w:noWrap/>
            <w:vAlign w:val="bottom"/>
            <w:hideMark/>
          </w:tcPr>
          <w:p w14:paraId="1D7DCE44"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32.1%</w:t>
            </w:r>
          </w:p>
        </w:tc>
        <w:tc>
          <w:tcPr>
            <w:tcW w:w="415" w:type="pct"/>
            <w:tcBorders>
              <w:top w:val="nil"/>
              <w:left w:val="nil"/>
              <w:bottom w:val="nil"/>
              <w:right w:val="nil"/>
            </w:tcBorders>
            <w:shd w:val="clear" w:color="auto" w:fill="auto"/>
            <w:noWrap/>
            <w:vAlign w:val="bottom"/>
            <w:hideMark/>
          </w:tcPr>
          <w:p w14:paraId="7E5ECBB5"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54.4%</w:t>
            </w:r>
          </w:p>
        </w:tc>
        <w:tc>
          <w:tcPr>
            <w:tcW w:w="378" w:type="pct"/>
            <w:tcBorders>
              <w:top w:val="nil"/>
              <w:left w:val="nil"/>
              <w:bottom w:val="nil"/>
              <w:right w:val="nil"/>
            </w:tcBorders>
            <w:shd w:val="clear" w:color="auto" w:fill="auto"/>
            <w:noWrap/>
            <w:vAlign w:val="bottom"/>
            <w:hideMark/>
          </w:tcPr>
          <w:p w14:paraId="15B9EA20"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31.1%</w:t>
            </w:r>
          </w:p>
        </w:tc>
      </w:tr>
      <w:tr w:rsidR="006E5119" w:rsidRPr="00F31385" w14:paraId="082B5050" w14:textId="77777777" w:rsidTr="006E5119">
        <w:trPr>
          <w:trHeight w:val="300"/>
        </w:trPr>
        <w:tc>
          <w:tcPr>
            <w:tcW w:w="337" w:type="pct"/>
            <w:tcBorders>
              <w:top w:val="nil"/>
              <w:left w:val="nil"/>
              <w:bottom w:val="nil"/>
              <w:right w:val="nil"/>
            </w:tcBorders>
            <w:shd w:val="clear" w:color="auto" w:fill="auto"/>
            <w:noWrap/>
            <w:vAlign w:val="bottom"/>
            <w:hideMark/>
          </w:tcPr>
          <w:p w14:paraId="6F261DF2" w14:textId="77777777" w:rsidR="006E5119" w:rsidRPr="00F31385" w:rsidRDefault="006E5119" w:rsidP="006E5119">
            <w:pPr>
              <w:spacing w:after="0"/>
              <w:jc w:val="both"/>
              <w:rPr>
                <w:rFonts w:eastAsia="Times New Roman" w:cs="Times New Roman"/>
                <w:color w:val="000000"/>
                <w:sz w:val="20"/>
                <w:szCs w:val="20"/>
              </w:rPr>
            </w:pPr>
          </w:p>
        </w:tc>
        <w:tc>
          <w:tcPr>
            <w:tcW w:w="700" w:type="pct"/>
            <w:tcBorders>
              <w:top w:val="nil"/>
              <w:left w:val="nil"/>
              <w:bottom w:val="nil"/>
              <w:right w:val="nil"/>
            </w:tcBorders>
            <w:shd w:val="clear" w:color="auto" w:fill="auto"/>
            <w:noWrap/>
            <w:vAlign w:val="bottom"/>
            <w:hideMark/>
          </w:tcPr>
          <w:p w14:paraId="2457AC99"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Infrastructure impact tax</w:t>
            </w:r>
          </w:p>
        </w:tc>
        <w:tc>
          <w:tcPr>
            <w:tcW w:w="415" w:type="pct"/>
            <w:tcBorders>
              <w:top w:val="nil"/>
              <w:left w:val="nil"/>
              <w:bottom w:val="nil"/>
              <w:right w:val="nil"/>
            </w:tcBorders>
            <w:shd w:val="clear" w:color="auto" w:fill="auto"/>
            <w:noWrap/>
            <w:vAlign w:val="bottom"/>
            <w:hideMark/>
          </w:tcPr>
          <w:p w14:paraId="528541C6"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69.6</w:t>
            </w:r>
          </w:p>
        </w:tc>
        <w:tc>
          <w:tcPr>
            <w:tcW w:w="378" w:type="pct"/>
            <w:tcBorders>
              <w:top w:val="nil"/>
              <w:left w:val="nil"/>
              <w:bottom w:val="nil"/>
              <w:right w:val="nil"/>
            </w:tcBorders>
            <w:shd w:val="clear" w:color="auto" w:fill="auto"/>
            <w:noWrap/>
            <w:vAlign w:val="bottom"/>
            <w:hideMark/>
          </w:tcPr>
          <w:p w14:paraId="5D391AC0"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41.9</w:t>
            </w:r>
          </w:p>
        </w:tc>
        <w:tc>
          <w:tcPr>
            <w:tcW w:w="415" w:type="pct"/>
            <w:tcBorders>
              <w:top w:val="nil"/>
              <w:left w:val="nil"/>
              <w:bottom w:val="nil"/>
              <w:right w:val="nil"/>
            </w:tcBorders>
            <w:shd w:val="clear" w:color="auto" w:fill="auto"/>
            <w:noWrap/>
            <w:vAlign w:val="bottom"/>
            <w:hideMark/>
          </w:tcPr>
          <w:p w14:paraId="72C41F13"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69.2</w:t>
            </w:r>
          </w:p>
        </w:tc>
        <w:tc>
          <w:tcPr>
            <w:tcW w:w="378" w:type="pct"/>
            <w:tcBorders>
              <w:top w:val="nil"/>
              <w:left w:val="nil"/>
              <w:bottom w:val="nil"/>
              <w:right w:val="nil"/>
            </w:tcBorders>
            <w:shd w:val="clear" w:color="auto" w:fill="auto"/>
            <w:noWrap/>
            <w:vAlign w:val="bottom"/>
            <w:hideMark/>
          </w:tcPr>
          <w:p w14:paraId="68E9083F"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48.4</w:t>
            </w:r>
          </w:p>
        </w:tc>
        <w:tc>
          <w:tcPr>
            <w:tcW w:w="415" w:type="pct"/>
            <w:tcBorders>
              <w:top w:val="nil"/>
              <w:left w:val="nil"/>
              <w:bottom w:val="nil"/>
              <w:right w:val="nil"/>
            </w:tcBorders>
            <w:shd w:val="clear" w:color="auto" w:fill="auto"/>
            <w:noWrap/>
            <w:vAlign w:val="bottom"/>
            <w:hideMark/>
          </w:tcPr>
          <w:p w14:paraId="4EEE4BE7"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62.9</w:t>
            </w:r>
          </w:p>
        </w:tc>
        <w:tc>
          <w:tcPr>
            <w:tcW w:w="378" w:type="pct"/>
            <w:tcBorders>
              <w:top w:val="nil"/>
              <w:left w:val="nil"/>
              <w:bottom w:val="nil"/>
              <w:right w:val="nil"/>
            </w:tcBorders>
            <w:shd w:val="clear" w:color="auto" w:fill="auto"/>
            <w:noWrap/>
            <w:vAlign w:val="bottom"/>
            <w:hideMark/>
          </w:tcPr>
          <w:p w14:paraId="26E2AFCA"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57.7%</w:t>
            </w:r>
          </w:p>
        </w:tc>
        <w:tc>
          <w:tcPr>
            <w:tcW w:w="415" w:type="pct"/>
            <w:tcBorders>
              <w:top w:val="nil"/>
              <w:left w:val="nil"/>
              <w:bottom w:val="nil"/>
              <w:right w:val="nil"/>
            </w:tcBorders>
            <w:shd w:val="clear" w:color="auto" w:fill="auto"/>
            <w:noWrap/>
            <w:vAlign w:val="bottom"/>
            <w:hideMark/>
          </w:tcPr>
          <w:p w14:paraId="617EAE2D"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63.5%</w:t>
            </w:r>
          </w:p>
        </w:tc>
        <w:tc>
          <w:tcPr>
            <w:tcW w:w="378" w:type="pct"/>
            <w:tcBorders>
              <w:top w:val="nil"/>
              <w:left w:val="nil"/>
              <w:bottom w:val="nil"/>
              <w:right w:val="nil"/>
            </w:tcBorders>
            <w:shd w:val="clear" w:color="auto" w:fill="auto"/>
            <w:noWrap/>
            <w:vAlign w:val="bottom"/>
            <w:hideMark/>
          </w:tcPr>
          <w:p w14:paraId="53ECCD5D"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55.1%</w:t>
            </w:r>
          </w:p>
        </w:tc>
        <w:tc>
          <w:tcPr>
            <w:tcW w:w="415" w:type="pct"/>
            <w:tcBorders>
              <w:top w:val="nil"/>
              <w:left w:val="nil"/>
              <w:bottom w:val="nil"/>
              <w:right w:val="nil"/>
            </w:tcBorders>
            <w:shd w:val="clear" w:color="auto" w:fill="auto"/>
            <w:noWrap/>
            <w:vAlign w:val="bottom"/>
            <w:hideMark/>
          </w:tcPr>
          <w:p w14:paraId="3E8F3A88"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55.6%</w:t>
            </w:r>
          </w:p>
        </w:tc>
        <w:tc>
          <w:tcPr>
            <w:tcW w:w="378" w:type="pct"/>
            <w:tcBorders>
              <w:top w:val="nil"/>
              <w:left w:val="nil"/>
              <w:bottom w:val="nil"/>
              <w:right w:val="nil"/>
            </w:tcBorders>
            <w:shd w:val="clear" w:color="auto" w:fill="auto"/>
            <w:noWrap/>
            <w:vAlign w:val="bottom"/>
            <w:hideMark/>
          </w:tcPr>
          <w:p w14:paraId="17C553C4"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42.8%</w:t>
            </w:r>
          </w:p>
        </w:tc>
      </w:tr>
      <w:tr w:rsidR="006E5119" w:rsidRPr="00F31385" w14:paraId="1439886E" w14:textId="77777777" w:rsidTr="006E5119">
        <w:trPr>
          <w:trHeight w:val="300"/>
        </w:trPr>
        <w:tc>
          <w:tcPr>
            <w:tcW w:w="337" w:type="pct"/>
            <w:tcBorders>
              <w:top w:val="nil"/>
              <w:left w:val="nil"/>
              <w:bottom w:val="nil"/>
              <w:right w:val="nil"/>
            </w:tcBorders>
            <w:shd w:val="clear" w:color="auto" w:fill="auto"/>
            <w:noWrap/>
            <w:vAlign w:val="bottom"/>
            <w:hideMark/>
          </w:tcPr>
          <w:p w14:paraId="00B4B2D5" w14:textId="77777777" w:rsidR="006E5119" w:rsidRPr="00F31385" w:rsidRDefault="006E5119" w:rsidP="006E5119">
            <w:pPr>
              <w:spacing w:after="0"/>
              <w:jc w:val="both"/>
              <w:rPr>
                <w:rFonts w:eastAsia="Times New Roman" w:cs="Times New Roman"/>
                <w:color w:val="000000"/>
                <w:sz w:val="20"/>
                <w:szCs w:val="20"/>
              </w:rPr>
            </w:pPr>
          </w:p>
        </w:tc>
        <w:tc>
          <w:tcPr>
            <w:tcW w:w="700" w:type="pct"/>
            <w:tcBorders>
              <w:top w:val="nil"/>
              <w:left w:val="nil"/>
              <w:bottom w:val="nil"/>
              <w:right w:val="nil"/>
            </w:tcBorders>
            <w:shd w:val="clear" w:color="auto" w:fill="auto"/>
            <w:noWrap/>
            <w:vAlign w:val="bottom"/>
            <w:hideMark/>
          </w:tcPr>
          <w:p w14:paraId="2F3D3779"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Public space tax</w:t>
            </w:r>
          </w:p>
        </w:tc>
        <w:tc>
          <w:tcPr>
            <w:tcW w:w="415" w:type="pct"/>
            <w:tcBorders>
              <w:top w:val="nil"/>
              <w:left w:val="nil"/>
              <w:bottom w:val="nil"/>
              <w:right w:val="nil"/>
            </w:tcBorders>
            <w:shd w:val="clear" w:color="auto" w:fill="auto"/>
            <w:noWrap/>
            <w:vAlign w:val="bottom"/>
            <w:hideMark/>
          </w:tcPr>
          <w:p w14:paraId="5A85E93C"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86.8</w:t>
            </w:r>
          </w:p>
        </w:tc>
        <w:tc>
          <w:tcPr>
            <w:tcW w:w="378" w:type="pct"/>
            <w:tcBorders>
              <w:top w:val="nil"/>
              <w:left w:val="nil"/>
              <w:bottom w:val="nil"/>
              <w:right w:val="nil"/>
            </w:tcBorders>
            <w:shd w:val="clear" w:color="auto" w:fill="auto"/>
            <w:noWrap/>
            <w:vAlign w:val="bottom"/>
            <w:hideMark/>
          </w:tcPr>
          <w:p w14:paraId="5E5184B0"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23.2</w:t>
            </w:r>
          </w:p>
        </w:tc>
        <w:tc>
          <w:tcPr>
            <w:tcW w:w="415" w:type="pct"/>
            <w:tcBorders>
              <w:top w:val="nil"/>
              <w:left w:val="nil"/>
              <w:bottom w:val="nil"/>
              <w:right w:val="nil"/>
            </w:tcBorders>
            <w:shd w:val="clear" w:color="auto" w:fill="auto"/>
            <w:noWrap/>
            <w:vAlign w:val="bottom"/>
            <w:hideMark/>
          </w:tcPr>
          <w:p w14:paraId="785C4D05"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70.6</w:t>
            </w:r>
          </w:p>
        </w:tc>
        <w:tc>
          <w:tcPr>
            <w:tcW w:w="378" w:type="pct"/>
            <w:tcBorders>
              <w:top w:val="nil"/>
              <w:left w:val="nil"/>
              <w:bottom w:val="nil"/>
              <w:right w:val="nil"/>
            </w:tcBorders>
            <w:shd w:val="clear" w:color="auto" w:fill="auto"/>
            <w:noWrap/>
            <w:vAlign w:val="bottom"/>
            <w:hideMark/>
          </w:tcPr>
          <w:p w14:paraId="0803A70A"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43.8</w:t>
            </w:r>
          </w:p>
        </w:tc>
        <w:tc>
          <w:tcPr>
            <w:tcW w:w="415" w:type="pct"/>
            <w:tcBorders>
              <w:top w:val="nil"/>
              <w:left w:val="nil"/>
              <w:bottom w:val="nil"/>
              <w:right w:val="nil"/>
            </w:tcBorders>
            <w:shd w:val="clear" w:color="auto" w:fill="auto"/>
            <w:noWrap/>
            <w:vAlign w:val="bottom"/>
            <w:hideMark/>
          </w:tcPr>
          <w:p w14:paraId="0F2BE59B"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81.4</w:t>
            </w:r>
          </w:p>
        </w:tc>
        <w:tc>
          <w:tcPr>
            <w:tcW w:w="378" w:type="pct"/>
            <w:tcBorders>
              <w:top w:val="nil"/>
              <w:left w:val="nil"/>
              <w:bottom w:val="nil"/>
              <w:right w:val="nil"/>
            </w:tcBorders>
            <w:shd w:val="clear" w:color="auto" w:fill="auto"/>
            <w:noWrap/>
            <w:vAlign w:val="bottom"/>
            <w:hideMark/>
          </w:tcPr>
          <w:p w14:paraId="22141CEA"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41.8%</w:t>
            </w:r>
          </w:p>
        </w:tc>
        <w:tc>
          <w:tcPr>
            <w:tcW w:w="415" w:type="pct"/>
            <w:tcBorders>
              <w:top w:val="nil"/>
              <w:left w:val="nil"/>
              <w:bottom w:val="nil"/>
              <w:right w:val="nil"/>
            </w:tcBorders>
            <w:shd w:val="clear" w:color="auto" w:fill="auto"/>
            <w:noWrap/>
            <w:vAlign w:val="bottom"/>
            <w:hideMark/>
          </w:tcPr>
          <w:p w14:paraId="78A5F9EC"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73.5%</w:t>
            </w:r>
          </w:p>
        </w:tc>
        <w:tc>
          <w:tcPr>
            <w:tcW w:w="378" w:type="pct"/>
            <w:tcBorders>
              <w:top w:val="nil"/>
              <w:left w:val="nil"/>
              <w:bottom w:val="nil"/>
              <w:right w:val="nil"/>
            </w:tcBorders>
            <w:shd w:val="clear" w:color="auto" w:fill="auto"/>
            <w:noWrap/>
            <w:vAlign w:val="bottom"/>
            <w:hideMark/>
          </w:tcPr>
          <w:p w14:paraId="1271C66D"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49.0%</w:t>
            </w:r>
          </w:p>
        </w:tc>
        <w:tc>
          <w:tcPr>
            <w:tcW w:w="415" w:type="pct"/>
            <w:tcBorders>
              <w:top w:val="nil"/>
              <w:left w:val="nil"/>
              <w:bottom w:val="nil"/>
              <w:right w:val="nil"/>
            </w:tcBorders>
            <w:shd w:val="clear" w:color="auto" w:fill="auto"/>
            <w:noWrap/>
            <w:vAlign w:val="bottom"/>
            <w:hideMark/>
          </w:tcPr>
          <w:p w14:paraId="31D60875"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77.0%</w:t>
            </w:r>
          </w:p>
        </w:tc>
        <w:tc>
          <w:tcPr>
            <w:tcW w:w="378" w:type="pct"/>
            <w:tcBorders>
              <w:top w:val="nil"/>
              <w:left w:val="nil"/>
              <w:bottom w:val="nil"/>
              <w:right w:val="nil"/>
            </w:tcBorders>
            <w:shd w:val="clear" w:color="auto" w:fill="auto"/>
            <w:noWrap/>
            <w:vAlign w:val="bottom"/>
            <w:hideMark/>
          </w:tcPr>
          <w:p w14:paraId="7B0F4791"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55.4%</w:t>
            </w:r>
          </w:p>
        </w:tc>
      </w:tr>
      <w:tr w:rsidR="006E5119" w:rsidRPr="00F31385" w14:paraId="2831E5BC" w14:textId="77777777" w:rsidTr="006E5119">
        <w:trPr>
          <w:trHeight w:val="300"/>
        </w:trPr>
        <w:tc>
          <w:tcPr>
            <w:tcW w:w="337" w:type="pct"/>
            <w:tcBorders>
              <w:top w:val="nil"/>
              <w:left w:val="nil"/>
              <w:bottom w:val="nil"/>
              <w:right w:val="nil"/>
            </w:tcBorders>
            <w:shd w:val="clear" w:color="auto" w:fill="auto"/>
            <w:noWrap/>
            <w:vAlign w:val="bottom"/>
            <w:hideMark/>
          </w:tcPr>
          <w:p w14:paraId="7E339616" w14:textId="77777777" w:rsidR="006E5119" w:rsidRPr="00F31385" w:rsidRDefault="006E5119" w:rsidP="006E5119">
            <w:pPr>
              <w:spacing w:after="0"/>
              <w:jc w:val="both"/>
              <w:rPr>
                <w:rFonts w:eastAsia="Times New Roman" w:cs="Times New Roman"/>
                <w:color w:val="000000"/>
                <w:sz w:val="20"/>
                <w:szCs w:val="20"/>
              </w:rPr>
            </w:pPr>
          </w:p>
        </w:tc>
        <w:tc>
          <w:tcPr>
            <w:tcW w:w="700" w:type="pct"/>
            <w:tcBorders>
              <w:top w:val="nil"/>
              <w:left w:val="nil"/>
              <w:bottom w:val="nil"/>
              <w:right w:val="nil"/>
            </w:tcBorders>
            <w:shd w:val="clear" w:color="auto" w:fill="auto"/>
            <w:noWrap/>
            <w:vAlign w:val="bottom"/>
            <w:hideMark/>
          </w:tcPr>
          <w:p w14:paraId="1C11B7B1"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Cleaning fee</w:t>
            </w:r>
          </w:p>
        </w:tc>
        <w:tc>
          <w:tcPr>
            <w:tcW w:w="415" w:type="pct"/>
            <w:tcBorders>
              <w:top w:val="nil"/>
              <w:left w:val="nil"/>
              <w:bottom w:val="nil"/>
              <w:right w:val="nil"/>
            </w:tcBorders>
            <w:shd w:val="clear" w:color="auto" w:fill="auto"/>
            <w:noWrap/>
            <w:vAlign w:val="bottom"/>
            <w:hideMark/>
          </w:tcPr>
          <w:p w14:paraId="6EC0B1C7"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77.1</w:t>
            </w:r>
          </w:p>
        </w:tc>
        <w:tc>
          <w:tcPr>
            <w:tcW w:w="378" w:type="pct"/>
            <w:tcBorders>
              <w:top w:val="nil"/>
              <w:left w:val="nil"/>
              <w:bottom w:val="nil"/>
              <w:right w:val="nil"/>
            </w:tcBorders>
            <w:shd w:val="clear" w:color="auto" w:fill="auto"/>
            <w:noWrap/>
            <w:vAlign w:val="bottom"/>
            <w:hideMark/>
          </w:tcPr>
          <w:p w14:paraId="71710D23"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51.0</w:t>
            </w:r>
          </w:p>
        </w:tc>
        <w:tc>
          <w:tcPr>
            <w:tcW w:w="415" w:type="pct"/>
            <w:tcBorders>
              <w:top w:val="nil"/>
              <w:left w:val="nil"/>
              <w:bottom w:val="nil"/>
              <w:right w:val="nil"/>
            </w:tcBorders>
            <w:shd w:val="clear" w:color="auto" w:fill="auto"/>
            <w:noWrap/>
            <w:vAlign w:val="bottom"/>
            <w:hideMark/>
          </w:tcPr>
          <w:p w14:paraId="1911DCA5"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79.3</w:t>
            </w:r>
          </w:p>
        </w:tc>
        <w:tc>
          <w:tcPr>
            <w:tcW w:w="378" w:type="pct"/>
            <w:tcBorders>
              <w:top w:val="nil"/>
              <w:left w:val="nil"/>
              <w:bottom w:val="nil"/>
              <w:right w:val="nil"/>
            </w:tcBorders>
            <w:shd w:val="clear" w:color="auto" w:fill="auto"/>
            <w:noWrap/>
            <w:vAlign w:val="bottom"/>
            <w:hideMark/>
          </w:tcPr>
          <w:p w14:paraId="5D4A7331"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47.3</w:t>
            </w:r>
          </w:p>
        </w:tc>
        <w:tc>
          <w:tcPr>
            <w:tcW w:w="415" w:type="pct"/>
            <w:tcBorders>
              <w:top w:val="nil"/>
              <w:left w:val="nil"/>
              <w:bottom w:val="nil"/>
              <w:right w:val="nil"/>
            </w:tcBorders>
            <w:shd w:val="clear" w:color="auto" w:fill="auto"/>
            <w:noWrap/>
            <w:vAlign w:val="bottom"/>
            <w:hideMark/>
          </w:tcPr>
          <w:p w14:paraId="0C32030F"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79.6</w:t>
            </w:r>
          </w:p>
        </w:tc>
        <w:tc>
          <w:tcPr>
            <w:tcW w:w="378" w:type="pct"/>
            <w:tcBorders>
              <w:top w:val="nil"/>
              <w:left w:val="nil"/>
              <w:bottom w:val="nil"/>
              <w:right w:val="nil"/>
            </w:tcBorders>
            <w:shd w:val="clear" w:color="auto" w:fill="auto"/>
            <w:noWrap/>
            <w:vAlign w:val="bottom"/>
            <w:hideMark/>
          </w:tcPr>
          <w:p w14:paraId="75AC0B45"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44.9%</w:t>
            </w:r>
          </w:p>
        </w:tc>
        <w:tc>
          <w:tcPr>
            <w:tcW w:w="415" w:type="pct"/>
            <w:tcBorders>
              <w:top w:val="nil"/>
              <w:left w:val="nil"/>
              <w:bottom w:val="nil"/>
              <w:right w:val="nil"/>
            </w:tcBorders>
            <w:shd w:val="clear" w:color="auto" w:fill="auto"/>
            <w:noWrap/>
            <w:vAlign w:val="bottom"/>
            <w:hideMark/>
          </w:tcPr>
          <w:p w14:paraId="64395871"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79.3%</w:t>
            </w:r>
          </w:p>
        </w:tc>
        <w:tc>
          <w:tcPr>
            <w:tcW w:w="378" w:type="pct"/>
            <w:tcBorders>
              <w:top w:val="nil"/>
              <w:left w:val="nil"/>
              <w:bottom w:val="nil"/>
              <w:right w:val="nil"/>
            </w:tcBorders>
            <w:shd w:val="clear" w:color="auto" w:fill="auto"/>
            <w:noWrap/>
            <w:vAlign w:val="bottom"/>
            <w:hideMark/>
          </w:tcPr>
          <w:p w14:paraId="0702C2FE"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45.4%</w:t>
            </w:r>
          </w:p>
        </w:tc>
        <w:tc>
          <w:tcPr>
            <w:tcW w:w="415" w:type="pct"/>
            <w:tcBorders>
              <w:top w:val="nil"/>
              <w:left w:val="nil"/>
              <w:bottom w:val="nil"/>
              <w:right w:val="nil"/>
            </w:tcBorders>
            <w:shd w:val="clear" w:color="auto" w:fill="auto"/>
            <w:noWrap/>
            <w:vAlign w:val="bottom"/>
            <w:hideMark/>
          </w:tcPr>
          <w:p w14:paraId="0FFF38E2"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80.1%</w:t>
            </w:r>
          </w:p>
        </w:tc>
        <w:tc>
          <w:tcPr>
            <w:tcW w:w="378" w:type="pct"/>
            <w:tcBorders>
              <w:top w:val="nil"/>
              <w:left w:val="nil"/>
              <w:bottom w:val="nil"/>
              <w:right w:val="nil"/>
            </w:tcBorders>
            <w:shd w:val="clear" w:color="auto" w:fill="auto"/>
            <w:noWrap/>
            <w:vAlign w:val="bottom"/>
            <w:hideMark/>
          </w:tcPr>
          <w:p w14:paraId="4D35E8D4"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35.0%</w:t>
            </w:r>
          </w:p>
        </w:tc>
      </w:tr>
      <w:tr w:rsidR="006E5119" w:rsidRPr="00F31385" w14:paraId="7CCBBF2E" w14:textId="77777777" w:rsidTr="006E5119">
        <w:trPr>
          <w:trHeight w:val="300"/>
        </w:trPr>
        <w:tc>
          <w:tcPr>
            <w:tcW w:w="1037" w:type="pct"/>
            <w:gridSpan w:val="2"/>
            <w:tcBorders>
              <w:top w:val="nil"/>
              <w:left w:val="nil"/>
              <w:bottom w:val="nil"/>
              <w:right w:val="nil"/>
            </w:tcBorders>
            <w:shd w:val="clear" w:color="auto" w:fill="auto"/>
            <w:noWrap/>
            <w:vAlign w:val="bottom"/>
            <w:hideMark/>
          </w:tcPr>
          <w:p w14:paraId="1D47132C"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Unconditional Transfer</w:t>
            </w:r>
          </w:p>
        </w:tc>
        <w:tc>
          <w:tcPr>
            <w:tcW w:w="415" w:type="pct"/>
            <w:tcBorders>
              <w:top w:val="nil"/>
              <w:left w:val="nil"/>
              <w:bottom w:val="nil"/>
              <w:right w:val="nil"/>
            </w:tcBorders>
            <w:shd w:val="clear" w:color="auto" w:fill="auto"/>
            <w:noWrap/>
            <w:vAlign w:val="bottom"/>
            <w:hideMark/>
          </w:tcPr>
          <w:p w14:paraId="4AB74976"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35.7</w:t>
            </w:r>
          </w:p>
        </w:tc>
        <w:tc>
          <w:tcPr>
            <w:tcW w:w="378" w:type="pct"/>
            <w:tcBorders>
              <w:top w:val="nil"/>
              <w:left w:val="nil"/>
              <w:bottom w:val="nil"/>
              <w:right w:val="nil"/>
            </w:tcBorders>
            <w:shd w:val="clear" w:color="auto" w:fill="auto"/>
            <w:noWrap/>
            <w:vAlign w:val="bottom"/>
            <w:hideMark/>
          </w:tcPr>
          <w:p w14:paraId="748A22D5"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28.5</w:t>
            </w:r>
          </w:p>
        </w:tc>
        <w:tc>
          <w:tcPr>
            <w:tcW w:w="415" w:type="pct"/>
            <w:tcBorders>
              <w:top w:val="nil"/>
              <w:left w:val="nil"/>
              <w:bottom w:val="nil"/>
              <w:right w:val="nil"/>
            </w:tcBorders>
            <w:shd w:val="clear" w:color="auto" w:fill="auto"/>
            <w:noWrap/>
            <w:vAlign w:val="bottom"/>
            <w:hideMark/>
          </w:tcPr>
          <w:p w14:paraId="726745F4"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36.6</w:t>
            </w:r>
          </w:p>
        </w:tc>
        <w:tc>
          <w:tcPr>
            <w:tcW w:w="378" w:type="pct"/>
            <w:tcBorders>
              <w:top w:val="nil"/>
              <w:left w:val="nil"/>
              <w:bottom w:val="nil"/>
              <w:right w:val="nil"/>
            </w:tcBorders>
            <w:shd w:val="clear" w:color="auto" w:fill="auto"/>
            <w:noWrap/>
            <w:vAlign w:val="bottom"/>
            <w:hideMark/>
          </w:tcPr>
          <w:p w14:paraId="7EF39627"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29.1</w:t>
            </w:r>
          </w:p>
        </w:tc>
        <w:tc>
          <w:tcPr>
            <w:tcW w:w="415" w:type="pct"/>
            <w:tcBorders>
              <w:top w:val="nil"/>
              <w:left w:val="nil"/>
              <w:bottom w:val="nil"/>
              <w:right w:val="nil"/>
            </w:tcBorders>
            <w:shd w:val="clear" w:color="auto" w:fill="auto"/>
            <w:noWrap/>
            <w:vAlign w:val="bottom"/>
            <w:hideMark/>
          </w:tcPr>
          <w:p w14:paraId="61D44163"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37.5</w:t>
            </w:r>
          </w:p>
        </w:tc>
        <w:tc>
          <w:tcPr>
            <w:tcW w:w="378" w:type="pct"/>
            <w:tcBorders>
              <w:top w:val="nil"/>
              <w:left w:val="nil"/>
              <w:bottom w:val="nil"/>
              <w:right w:val="nil"/>
            </w:tcBorders>
            <w:shd w:val="clear" w:color="auto" w:fill="auto"/>
            <w:noWrap/>
            <w:vAlign w:val="bottom"/>
            <w:hideMark/>
          </w:tcPr>
          <w:p w14:paraId="26DD7079"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29.8%</w:t>
            </w:r>
          </w:p>
        </w:tc>
        <w:tc>
          <w:tcPr>
            <w:tcW w:w="415" w:type="pct"/>
            <w:tcBorders>
              <w:top w:val="nil"/>
              <w:left w:val="nil"/>
              <w:bottom w:val="nil"/>
              <w:right w:val="nil"/>
            </w:tcBorders>
            <w:shd w:val="clear" w:color="auto" w:fill="auto"/>
            <w:noWrap/>
            <w:vAlign w:val="bottom"/>
            <w:hideMark/>
          </w:tcPr>
          <w:p w14:paraId="18308EF4"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37.9%</w:t>
            </w:r>
          </w:p>
        </w:tc>
        <w:tc>
          <w:tcPr>
            <w:tcW w:w="378" w:type="pct"/>
            <w:tcBorders>
              <w:top w:val="nil"/>
              <w:left w:val="nil"/>
              <w:bottom w:val="nil"/>
              <w:right w:val="nil"/>
            </w:tcBorders>
            <w:shd w:val="clear" w:color="auto" w:fill="auto"/>
            <w:noWrap/>
            <w:vAlign w:val="bottom"/>
            <w:hideMark/>
          </w:tcPr>
          <w:p w14:paraId="19E8D493"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30.1%</w:t>
            </w:r>
          </w:p>
        </w:tc>
        <w:tc>
          <w:tcPr>
            <w:tcW w:w="415" w:type="pct"/>
            <w:tcBorders>
              <w:top w:val="nil"/>
              <w:left w:val="nil"/>
              <w:bottom w:val="nil"/>
              <w:right w:val="nil"/>
            </w:tcBorders>
            <w:shd w:val="clear" w:color="auto" w:fill="auto"/>
            <w:noWrap/>
            <w:vAlign w:val="bottom"/>
            <w:hideMark/>
          </w:tcPr>
          <w:p w14:paraId="142FCC25"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38.0%</w:t>
            </w:r>
          </w:p>
        </w:tc>
        <w:tc>
          <w:tcPr>
            <w:tcW w:w="378" w:type="pct"/>
            <w:tcBorders>
              <w:top w:val="nil"/>
              <w:left w:val="nil"/>
              <w:bottom w:val="nil"/>
              <w:right w:val="nil"/>
            </w:tcBorders>
            <w:shd w:val="clear" w:color="auto" w:fill="auto"/>
            <w:noWrap/>
            <w:vAlign w:val="bottom"/>
            <w:hideMark/>
          </w:tcPr>
          <w:p w14:paraId="08B75886"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30.3%</w:t>
            </w:r>
          </w:p>
        </w:tc>
      </w:tr>
      <w:tr w:rsidR="006E5119" w:rsidRPr="00F31385" w14:paraId="68BF3C69" w14:textId="77777777" w:rsidTr="006E5119">
        <w:trPr>
          <w:trHeight w:val="300"/>
        </w:trPr>
        <w:tc>
          <w:tcPr>
            <w:tcW w:w="1037" w:type="pct"/>
            <w:gridSpan w:val="2"/>
            <w:tcBorders>
              <w:top w:val="nil"/>
              <w:left w:val="nil"/>
              <w:bottom w:val="nil"/>
              <w:right w:val="nil"/>
            </w:tcBorders>
            <w:shd w:val="clear" w:color="auto" w:fill="auto"/>
            <w:noWrap/>
            <w:vAlign w:val="bottom"/>
            <w:hideMark/>
          </w:tcPr>
          <w:p w14:paraId="2F7231E3"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Conditional transfers</w:t>
            </w:r>
          </w:p>
        </w:tc>
        <w:tc>
          <w:tcPr>
            <w:tcW w:w="415" w:type="pct"/>
            <w:tcBorders>
              <w:top w:val="nil"/>
              <w:left w:val="nil"/>
              <w:bottom w:val="nil"/>
              <w:right w:val="nil"/>
            </w:tcBorders>
            <w:shd w:val="clear" w:color="auto" w:fill="auto"/>
            <w:noWrap/>
            <w:vAlign w:val="bottom"/>
            <w:hideMark/>
          </w:tcPr>
          <w:p w14:paraId="4AF093C7"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42.2</w:t>
            </w:r>
          </w:p>
        </w:tc>
        <w:tc>
          <w:tcPr>
            <w:tcW w:w="378" w:type="pct"/>
            <w:tcBorders>
              <w:top w:val="nil"/>
              <w:left w:val="nil"/>
              <w:bottom w:val="nil"/>
              <w:right w:val="nil"/>
            </w:tcBorders>
            <w:shd w:val="clear" w:color="auto" w:fill="auto"/>
            <w:noWrap/>
            <w:vAlign w:val="bottom"/>
            <w:hideMark/>
          </w:tcPr>
          <w:p w14:paraId="0A62099F"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25.8</w:t>
            </w:r>
          </w:p>
        </w:tc>
        <w:tc>
          <w:tcPr>
            <w:tcW w:w="415" w:type="pct"/>
            <w:tcBorders>
              <w:top w:val="nil"/>
              <w:left w:val="nil"/>
              <w:bottom w:val="nil"/>
              <w:right w:val="nil"/>
            </w:tcBorders>
            <w:shd w:val="clear" w:color="auto" w:fill="auto"/>
            <w:noWrap/>
            <w:vAlign w:val="bottom"/>
            <w:hideMark/>
          </w:tcPr>
          <w:p w14:paraId="6E17C172"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41.0</w:t>
            </w:r>
          </w:p>
        </w:tc>
        <w:tc>
          <w:tcPr>
            <w:tcW w:w="378" w:type="pct"/>
            <w:tcBorders>
              <w:top w:val="nil"/>
              <w:left w:val="nil"/>
              <w:bottom w:val="nil"/>
              <w:right w:val="nil"/>
            </w:tcBorders>
            <w:shd w:val="clear" w:color="auto" w:fill="auto"/>
            <w:noWrap/>
            <w:vAlign w:val="bottom"/>
            <w:hideMark/>
          </w:tcPr>
          <w:p w14:paraId="20652475"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34.3</w:t>
            </w:r>
          </w:p>
        </w:tc>
        <w:tc>
          <w:tcPr>
            <w:tcW w:w="415" w:type="pct"/>
            <w:tcBorders>
              <w:top w:val="nil"/>
              <w:left w:val="nil"/>
              <w:bottom w:val="nil"/>
              <w:right w:val="nil"/>
            </w:tcBorders>
            <w:shd w:val="clear" w:color="auto" w:fill="auto"/>
            <w:noWrap/>
            <w:vAlign w:val="bottom"/>
            <w:hideMark/>
          </w:tcPr>
          <w:p w14:paraId="633461A9"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46.7%</w:t>
            </w:r>
          </w:p>
        </w:tc>
        <w:tc>
          <w:tcPr>
            <w:tcW w:w="378" w:type="pct"/>
            <w:tcBorders>
              <w:top w:val="nil"/>
              <w:left w:val="nil"/>
              <w:bottom w:val="nil"/>
              <w:right w:val="nil"/>
            </w:tcBorders>
            <w:shd w:val="clear" w:color="auto" w:fill="auto"/>
            <w:noWrap/>
            <w:vAlign w:val="bottom"/>
            <w:hideMark/>
          </w:tcPr>
          <w:p w14:paraId="6B938355"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39.6%</w:t>
            </w:r>
          </w:p>
        </w:tc>
        <w:tc>
          <w:tcPr>
            <w:tcW w:w="415" w:type="pct"/>
            <w:tcBorders>
              <w:top w:val="nil"/>
              <w:left w:val="nil"/>
              <w:bottom w:val="nil"/>
              <w:right w:val="nil"/>
            </w:tcBorders>
            <w:shd w:val="clear" w:color="auto" w:fill="auto"/>
            <w:noWrap/>
            <w:vAlign w:val="bottom"/>
            <w:hideMark/>
          </w:tcPr>
          <w:p w14:paraId="15224626"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43.0%</w:t>
            </w:r>
          </w:p>
        </w:tc>
        <w:tc>
          <w:tcPr>
            <w:tcW w:w="378" w:type="pct"/>
            <w:tcBorders>
              <w:top w:val="nil"/>
              <w:left w:val="nil"/>
              <w:bottom w:val="nil"/>
              <w:right w:val="nil"/>
            </w:tcBorders>
            <w:shd w:val="clear" w:color="auto" w:fill="auto"/>
            <w:noWrap/>
            <w:vAlign w:val="bottom"/>
            <w:hideMark/>
          </w:tcPr>
          <w:p w14:paraId="5EE9D36E"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34.7%</w:t>
            </w:r>
          </w:p>
        </w:tc>
        <w:tc>
          <w:tcPr>
            <w:tcW w:w="415" w:type="pct"/>
            <w:tcBorders>
              <w:top w:val="nil"/>
              <w:left w:val="nil"/>
              <w:bottom w:val="nil"/>
              <w:right w:val="nil"/>
            </w:tcBorders>
            <w:shd w:val="clear" w:color="auto" w:fill="auto"/>
            <w:noWrap/>
            <w:vAlign w:val="bottom"/>
            <w:hideMark/>
          </w:tcPr>
          <w:p w14:paraId="4B610292" w14:textId="77777777" w:rsidR="006E5119" w:rsidRPr="00F31385" w:rsidRDefault="006E5119" w:rsidP="006E5119">
            <w:pPr>
              <w:spacing w:after="0"/>
              <w:jc w:val="both"/>
              <w:rPr>
                <w:rFonts w:eastAsia="Times New Roman" w:cs="Times New Roman"/>
                <w:color w:val="000000"/>
                <w:sz w:val="20"/>
                <w:szCs w:val="20"/>
              </w:rPr>
            </w:pPr>
            <w:r w:rsidRPr="00F31385">
              <w:rPr>
                <w:rFonts w:eastAsia="Times New Roman" w:cs="Times New Roman"/>
                <w:color w:val="000000"/>
                <w:sz w:val="20"/>
                <w:szCs w:val="20"/>
              </w:rPr>
              <w:t>11.9%</w:t>
            </w:r>
          </w:p>
        </w:tc>
        <w:tc>
          <w:tcPr>
            <w:tcW w:w="378" w:type="pct"/>
            <w:tcBorders>
              <w:top w:val="nil"/>
              <w:left w:val="nil"/>
              <w:bottom w:val="nil"/>
              <w:right w:val="nil"/>
            </w:tcBorders>
            <w:shd w:val="clear" w:color="auto" w:fill="auto"/>
            <w:noWrap/>
            <w:vAlign w:val="bottom"/>
            <w:hideMark/>
          </w:tcPr>
          <w:p w14:paraId="63AC6C2F" w14:textId="77777777" w:rsidR="006E5119" w:rsidRPr="00F31385" w:rsidRDefault="006E5119" w:rsidP="006E5119">
            <w:pPr>
              <w:spacing w:after="0"/>
              <w:jc w:val="both"/>
              <w:rPr>
                <w:rFonts w:eastAsia="Times New Roman" w:cs="Times New Roman"/>
                <w:b/>
                <w:color w:val="000000"/>
                <w:sz w:val="20"/>
                <w:szCs w:val="20"/>
              </w:rPr>
            </w:pPr>
            <w:r w:rsidRPr="00F31385">
              <w:rPr>
                <w:rFonts w:eastAsia="Times New Roman" w:cs="Times New Roman"/>
                <w:b/>
                <w:color w:val="000000"/>
                <w:sz w:val="20"/>
                <w:szCs w:val="20"/>
              </w:rPr>
              <w:t>10.4%</w:t>
            </w:r>
          </w:p>
        </w:tc>
      </w:tr>
    </w:tbl>
    <w:p w14:paraId="0B7D7338" w14:textId="77777777" w:rsidR="006E5119" w:rsidRPr="00F31385" w:rsidRDefault="006E5119" w:rsidP="006E5119">
      <w:pPr>
        <w:spacing w:before="120"/>
        <w:jc w:val="both"/>
        <w:rPr>
          <w:rFonts w:cs="Times New Roman"/>
        </w:rPr>
      </w:pPr>
    </w:p>
    <w:p w14:paraId="66B9F479" w14:textId="77777777" w:rsidR="006E5119" w:rsidRPr="003C6C97" w:rsidRDefault="006E5119" w:rsidP="003C6C97">
      <w:pPr>
        <w:spacing w:before="120"/>
        <w:jc w:val="both"/>
        <w:rPr>
          <w:rFonts w:cs="Times New Roman"/>
        </w:rPr>
      </w:pPr>
      <w:r w:rsidRPr="00F31385">
        <w:rPr>
          <w:rFonts w:cs="Times New Roman"/>
        </w:rPr>
        <w:t>Source: Ministry of Finance, Department of Budget Monitoring</w:t>
      </w:r>
    </w:p>
    <w:p w14:paraId="06E4AA97" w14:textId="77777777" w:rsidR="006E5119" w:rsidRDefault="006E5119" w:rsidP="006E5119">
      <w:pPr>
        <w:jc w:val="both"/>
      </w:pPr>
      <w:r>
        <w:t xml:space="preserve">As Table 1 shows, almost half of the population lives in the local government units that constitute the sample under the analysis. </w:t>
      </w:r>
      <w:r w:rsidRPr="003C6C97">
        <w:t>In 2014, the selected</w:t>
      </w:r>
      <w:r>
        <w:t xml:space="preserve"> units together raise more than 70% of locally derived revenue (30% is raised in capital Tirana alone); but they receive only about 38% of general purpose grants (unconditional grant) and less then 12% of conditional funding overall. These data are already an indication of the main characteristics of the intergovernmental transfer system in Albania, which has been designed on the principle of equity and has a very strong horizontal equalization component. </w:t>
      </w:r>
    </w:p>
    <w:p w14:paraId="0D711429" w14:textId="77777777" w:rsidR="003C6C97" w:rsidRDefault="006E5119" w:rsidP="006E5119">
      <w:pPr>
        <w:jc w:val="both"/>
      </w:pPr>
      <w:r w:rsidRPr="00F31385">
        <w:t xml:space="preserve">This report looks at the main sources of revenue at the local level, including the system of transfers as well as the main taxes and fees in terms of the tax base, rate, administrative procedures, and particularly the local autonomy in setting tax rates, which is an important factor of efficiency especially in </w:t>
      </w:r>
      <w:r w:rsidRPr="003C6C97">
        <w:t>fiscally relatively decentralized environments</w:t>
      </w:r>
      <w:r w:rsidRPr="003C6C97">
        <w:rPr>
          <w:rStyle w:val="FootnoteReference"/>
        </w:rPr>
        <w:footnoteReference w:id="1"/>
      </w:r>
      <w:r w:rsidRPr="003C6C97">
        <w:t>.</w:t>
      </w:r>
      <w:r w:rsidRPr="00F31385">
        <w:t xml:space="preserve"> It looks at possible policy options for improvement in the definition and administration of these taxes and fees in order to enable increased local government revenues while preserving the basic qualities of efficient taxes, including equity. Furthermore, this paper will try to explore the reasons for the underperformance in the taxation of certain sectors of local economies (such as real estate, business taxes or service fees) and attempt to understand the main </w:t>
      </w:r>
      <w:r w:rsidRPr="00F31385">
        <w:lastRenderedPageBreak/>
        <w:t>factors that would support improved tax collections in given administrations or periods, including efficiency of tax collection, fiduciary risks and availability of taxpayers databases.</w:t>
      </w:r>
      <w:r>
        <w:t xml:space="preserve"> </w:t>
      </w:r>
    </w:p>
    <w:p w14:paraId="461F304D" w14:textId="77777777" w:rsidR="006E5119" w:rsidRPr="00F31385" w:rsidRDefault="006E5119" w:rsidP="006E5119">
      <w:pPr>
        <w:jc w:val="both"/>
        <w:rPr>
          <w:rFonts w:eastAsiaTheme="majorEastAsia" w:cstheme="majorBidi"/>
          <w:b/>
          <w:bCs/>
          <w:color w:val="365F91" w:themeColor="accent1" w:themeShade="BF"/>
          <w:sz w:val="28"/>
          <w:szCs w:val="28"/>
          <w:lang w:val="en-GB"/>
        </w:rPr>
      </w:pPr>
      <w:r w:rsidRPr="00F31385">
        <w:rPr>
          <w:lang w:val="en-GB"/>
        </w:rPr>
        <w:br w:type="page"/>
      </w:r>
    </w:p>
    <w:p w14:paraId="358CD7C9" w14:textId="77777777" w:rsidR="006E5119" w:rsidRPr="00F31385" w:rsidRDefault="006E5119" w:rsidP="006E5119">
      <w:pPr>
        <w:pStyle w:val="Heading1"/>
        <w:jc w:val="both"/>
        <w:rPr>
          <w:rFonts w:asciiTheme="minorHAnsi" w:hAnsiTheme="minorHAnsi"/>
          <w:lang w:val="en-GB"/>
        </w:rPr>
      </w:pPr>
      <w:bookmarkStart w:id="2" w:name="_Toc253791336"/>
      <w:r w:rsidRPr="00F31385">
        <w:rPr>
          <w:rFonts w:asciiTheme="minorHAnsi" w:hAnsiTheme="minorHAnsi"/>
          <w:lang w:val="en-GB"/>
        </w:rPr>
        <w:lastRenderedPageBreak/>
        <w:t>2 The relevance of well managed public revenue system</w:t>
      </w:r>
      <w:bookmarkEnd w:id="2"/>
    </w:p>
    <w:p w14:paraId="773EFD61" w14:textId="77777777" w:rsidR="006E5119" w:rsidRDefault="006E5119" w:rsidP="003C6C97">
      <w:pPr>
        <w:jc w:val="both"/>
        <w:rPr>
          <w:lang w:val="en-GB"/>
        </w:rPr>
      </w:pPr>
    </w:p>
    <w:p w14:paraId="468B5764" w14:textId="77777777" w:rsidR="003C6C97" w:rsidRPr="00F31385" w:rsidRDefault="003C6C97" w:rsidP="003C6C97">
      <w:pPr>
        <w:jc w:val="both"/>
        <w:rPr>
          <w:lang w:val="en-GB"/>
        </w:rPr>
      </w:pPr>
      <w:r>
        <w:rPr>
          <w:lang w:val="en-GB"/>
        </w:rPr>
        <w:t xml:space="preserve">This chapter provides an overview of the main principles that guide intergovernmental transfers, as well as it introduces the challenges in resource mobilisation and management of local revenues. </w:t>
      </w:r>
    </w:p>
    <w:p w14:paraId="6AA4798F" w14:textId="77777777" w:rsidR="006E5119" w:rsidRPr="00F31385" w:rsidRDefault="006E5119" w:rsidP="006E5119">
      <w:pPr>
        <w:pStyle w:val="Heading2"/>
        <w:tabs>
          <w:tab w:val="left" w:pos="709"/>
        </w:tabs>
        <w:jc w:val="both"/>
        <w:rPr>
          <w:rFonts w:asciiTheme="minorHAnsi" w:hAnsiTheme="minorHAnsi"/>
          <w:lang w:val="en-GB"/>
        </w:rPr>
      </w:pPr>
      <w:bookmarkStart w:id="3" w:name="_Toc253791337"/>
      <w:r>
        <w:rPr>
          <w:rFonts w:asciiTheme="minorHAnsi" w:hAnsiTheme="minorHAnsi"/>
          <w:lang w:val="en-GB"/>
        </w:rPr>
        <w:t xml:space="preserve">2.1 </w:t>
      </w:r>
      <w:r w:rsidRPr="00F31385">
        <w:rPr>
          <w:rFonts w:asciiTheme="minorHAnsi" w:hAnsiTheme="minorHAnsi"/>
          <w:lang w:val="en-GB"/>
        </w:rPr>
        <w:t>Guarantee for service delivery and development</w:t>
      </w:r>
      <w:bookmarkEnd w:id="3"/>
    </w:p>
    <w:p w14:paraId="42D841CF" w14:textId="77777777" w:rsidR="006E5119" w:rsidRPr="00F31385" w:rsidRDefault="006E5119" w:rsidP="006E5119">
      <w:pPr>
        <w:pStyle w:val="MainParanoChapter"/>
        <w:jc w:val="both"/>
        <w:rPr>
          <w:rFonts w:asciiTheme="minorHAnsi" w:hAnsiTheme="minorHAnsi"/>
          <w:iCs/>
        </w:rPr>
      </w:pPr>
    </w:p>
    <w:p w14:paraId="7D617A63" w14:textId="77777777" w:rsidR="006E5119" w:rsidRDefault="006E5119" w:rsidP="006E5119">
      <w:pPr>
        <w:jc w:val="both"/>
        <w:rPr>
          <w:iCs/>
        </w:rPr>
      </w:pPr>
      <w:bookmarkStart w:id="4" w:name="_Toc253620523"/>
      <w:r w:rsidRPr="00F31385">
        <w:t xml:space="preserve">One of the main challenges for local governments is to meet </w:t>
      </w:r>
      <w:r w:rsidRPr="003C6C97">
        <w:t>the expectations for better services and governance. Decentralization and urbanization resulted in growing pressure on local governments to provide or at least to ensure public services and facilitate economic development. However, public services can only be delivered if adequate resources are available at the state level, which is responsible for the execution of the function. Therefore, t</w:t>
      </w:r>
      <w:r w:rsidRPr="003C6C97">
        <w:rPr>
          <w:iCs/>
        </w:rPr>
        <w:t>he level of funding for local governments should be closely related to the functions they are mandated to perform. In gener</w:t>
      </w:r>
      <w:r w:rsidRPr="00F31385">
        <w:rPr>
          <w:iCs/>
        </w:rPr>
        <w:t xml:space="preserve">al, it could be advisable to set norms for each service provided by local governments and calculate the costs associated with the specified norm. However, this approach may not be feasible in practice, as the cost of achieving a given standard may vary widely across different regions and jurisdictions. </w:t>
      </w:r>
    </w:p>
    <w:p w14:paraId="1FA12027" w14:textId="77777777" w:rsidR="006E5119" w:rsidRPr="00F31385" w:rsidRDefault="006E5119" w:rsidP="006E5119">
      <w:pPr>
        <w:jc w:val="both"/>
        <w:rPr>
          <w:iCs/>
        </w:rPr>
      </w:pPr>
      <w:bookmarkStart w:id="5" w:name="_Toc253620531"/>
      <w:bookmarkEnd w:id="4"/>
      <w:r w:rsidRPr="00F31385">
        <w:rPr>
          <w:iCs/>
        </w:rPr>
        <w:t xml:space="preserve">Local governments in Albania are financed through a combination of general-purpose transfers (formula based equalization grant), conditional grants as well as local taxes and fees. As several studies note, the design of the system of transfers seems to be </w:t>
      </w:r>
      <w:r w:rsidRPr="00836AEA">
        <w:t>adequate</w:t>
      </w:r>
      <w:r w:rsidRPr="00F31385">
        <w:rPr>
          <w:iCs/>
        </w:rPr>
        <w:t xml:space="preserve"> for the current conditions in the country and achieve to a good extent the purpose of horizontal equalization</w:t>
      </w:r>
      <w:r w:rsidRPr="00F31385">
        <w:rPr>
          <w:rStyle w:val="FootnoteReference"/>
          <w:iCs/>
        </w:rPr>
        <w:footnoteReference w:id="2"/>
      </w:r>
      <w:r w:rsidRPr="00F31385">
        <w:rPr>
          <w:iCs/>
        </w:rPr>
        <w:t>. In terms of vertical equalization, the levels of spending of local governments in Albania remain significantly low</w:t>
      </w:r>
      <w:r w:rsidRPr="003C6C97">
        <w:rPr>
          <w:iCs/>
        </w:rPr>
        <w:t>,</w:t>
      </w:r>
      <w:r w:rsidRPr="00F31385">
        <w:rPr>
          <w:iCs/>
        </w:rPr>
        <w:t xml:space="preserve"> at less than </w:t>
      </w:r>
      <w:r>
        <w:rPr>
          <w:iCs/>
        </w:rPr>
        <w:t>3</w:t>
      </w:r>
      <w:r w:rsidRPr="00F31385">
        <w:rPr>
          <w:iCs/>
        </w:rPr>
        <w:t>% of the GDP</w:t>
      </w:r>
      <w:r w:rsidRPr="00F31385">
        <w:rPr>
          <w:rStyle w:val="FootnoteReference"/>
          <w:iCs/>
        </w:rPr>
        <w:footnoteReference w:id="3"/>
      </w:r>
      <w:r w:rsidRPr="00F31385">
        <w:rPr>
          <w:iCs/>
        </w:rPr>
        <w:t>. However, it needs to be establish</w:t>
      </w:r>
      <w:r>
        <w:rPr>
          <w:iCs/>
        </w:rPr>
        <w:t>ed</w:t>
      </w:r>
      <w:r w:rsidRPr="00F31385">
        <w:rPr>
          <w:iCs/>
        </w:rPr>
        <w:t xml:space="preserve"> whether the current levels of spending (i.e. revenue adequacy) are adequate for the levels of services assigned to local governments. The main services performed by local governments in Albania relate to the maintenance of local infrastructure; water supply and sewerage networks; public urban transport, solid waste management and urban planning. In principle, the system allows for local governments to raise revenues to fund the majority of these services through the setting of service charges. Other services, including those in the area of social protection and education are partially or entirely financed through the state budget through earmarked grants and/or general-purpose transfers. The system of transfers and fiscal authority granted to local governments </w:t>
      </w:r>
      <w:r>
        <w:rPr>
          <w:iCs/>
        </w:rPr>
        <w:t xml:space="preserve">are generally </w:t>
      </w:r>
      <w:r w:rsidRPr="00F31385">
        <w:rPr>
          <w:iCs/>
        </w:rPr>
        <w:t xml:space="preserve">in line with the general principles as highlighted above. However, it is worth noting that the current amount of funding does not seem to respond adequately to the huge needs for infrastructure improvements, especially in the </w:t>
      </w:r>
      <w:r>
        <w:rPr>
          <w:iCs/>
        </w:rPr>
        <w:t>sector</w:t>
      </w:r>
      <w:r w:rsidRPr="00F31385">
        <w:rPr>
          <w:iCs/>
        </w:rPr>
        <w:t xml:space="preserve"> of road and water systems where the physical infrastructure is missing and/or obsolete due to deferred maintenance. To date these needs have been addresse</w:t>
      </w:r>
      <w:r w:rsidRPr="003C6C97">
        <w:rPr>
          <w:iCs/>
        </w:rPr>
        <w:t>d</w:t>
      </w:r>
      <w:r w:rsidRPr="00F31385">
        <w:rPr>
          <w:iCs/>
        </w:rPr>
        <w:t xml:space="preserve"> through a combination of conditional and/or competitive grants from the state budget. While it is understandable that the amount of such grants does not necessarily meet the overall demand due to budget scarcity, it is important to note that increased transparency and clearer allocation criteria would </w:t>
      </w:r>
      <w:r w:rsidRPr="00F31385">
        <w:rPr>
          <w:iCs/>
        </w:rPr>
        <w:lastRenderedPageBreak/>
        <w:t>improve performance of such grants.</w:t>
      </w:r>
      <w:r>
        <w:rPr>
          <w:iCs/>
        </w:rPr>
        <w:t xml:space="preserve"> The section on the allocation of conditional grants will look at this issue more closely.</w:t>
      </w:r>
      <w:bookmarkEnd w:id="5"/>
    </w:p>
    <w:p w14:paraId="035B3923" w14:textId="77777777" w:rsidR="006E5119" w:rsidRDefault="006E5119" w:rsidP="006E5119">
      <w:pPr>
        <w:jc w:val="both"/>
        <w:rPr>
          <w:iCs/>
        </w:rPr>
      </w:pPr>
      <w:bookmarkStart w:id="6" w:name="_Toc253620532"/>
      <w:r w:rsidRPr="00F31385">
        <w:rPr>
          <w:iCs/>
        </w:rPr>
        <w:t>When economic conditions chang</w:t>
      </w:r>
      <w:r w:rsidRPr="003C6C97">
        <w:rPr>
          <w:iCs/>
        </w:rPr>
        <w:t>e,</w:t>
      </w:r>
      <w:r w:rsidRPr="00F31385">
        <w:rPr>
          <w:iCs/>
        </w:rPr>
        <w:t xml:space="preserve"> distribution of income may become less equitable both vertically and horizontally. </w:t>
      </w:r>
      <w:r w:rsidR="003C6C97">
        <w:rPr>
          <w:iCs/>
        </w:rPr>
        <w:t>F</w:t>
      </w:r>
      <w:r w:rsidRPr="00836AEA">
        <w:t>requent</w:t>
      </w:r>
      <w:r w:rsidRPr="00F31385">
        <w:rPr>
          <w:iCs/>
        </w:rPr>
        <w:t xml:space="preserve"> changes in the financing </w:t>
      </w:r>
      <w:r w:rsidR="003C6C97">
        <w:rPr>
          <w:iCs/>
        </w:rPr>
        <w:t>framework of local governments such as the</w:t>
      </w:r>
      <w:r w:rsidRPr="00F31385">
        <w:rPr>
          <w:iCs/>
        </w:rPr>
        <w:t xml:space="preserve"> reduction of the total </w:t>
      </w:r>
      <w:r w:rsidR="003C6C97">
        <w:rPr>
          <w:iCs/>
        </w:rPr>
        <w:t xml:space="preserve">unconditional grant </w:t>
      </w:r>
      <w:r w:rsidRPr="00F31385">
        <w:rPr>
          <w:iCs/>
        </w:rPr>
        <w:t xml:space="preserve">pool; </w:t>
      </w:r>
      <w:r w:rsidR="003C6C97">
        <w:rPr>
          <w:iCs/>
        </w:rPr>
        <w:t>or the reduction of local authorities’ discretion over indicative local tax rates,</w:t>
      </w:r>
      <w:r w:rsidRPr="00F31385">
        <w:rPr>
          <w:iCs/>
        </w:rPr>
        <w:t xml:space="preserve"> have </w:t>
      </w:r>
      <w:r>
        <w:rPr>
          <w:iCs/>
        </w:rPr>
        <w:t>undermined consolidation of local government finance and operations</w:t>
      </w:r>
      <w:r w:rsidRPr="00F31385">
        <w:rPr>
          <w:iCs/>
        </w:rPr>
        <w:t>.</w:t>
      </w:r>
      <w:bookmarkEnd w:id="6"/>
      <w:r w:rsidRPr="00F31385">
        <w:rPr>
          <w:iCs/>
        </w:rPr>
        <w:t xml:space="preserve"> </w:t>
      </w:r>
    </w:p>
    <w:p w14:paraId="5DAB9355" w14:textId="77777777" w:rsidR="006E5119" w:rsidRPr="00F31385" w:rsidRDefault="006E5119" w:rsidP="006E5119">
      <w:pPr>
        <w:pStyle w:val="MainParanoChapter"/>
        <w:jc w:val="both"/>
        <w:rPr>
          <w:rFonts w:asciiTheme="minorHAnsi" w:hAnsiTheme="minorHAnsi"/>
          <w:iCs/>
        </w:rPr>
      </w:pPr>
    </w:p>
    <w:p w14:paraId="1A4016BF" w14:textId="77777777" w:rsidR="006E5119" w:rsidRPr="00E848A7" w:rsidRDefault="006E5119" w:rsidP="006E5119">
      <w:pPr>
        <w:pStyle w:val="Heading2"/>
      </w:pPr>
      <w:bookmarkStart w:id="7" w:name="_Toc253791338"/>
      <w:r>
        <w:t>2.2 Guiding principles for intergovernmental transfers</w:t>
      </w:r>
      <w:bookmarkEnd w:id="7"/>
    </w:p>
    <w:p w14:paraId="27B56253" w14:textId="77777777" w:rsidR="006E5119" w:rsidRPr="00E848A7" w:rsidRDefault="006E5119" w:rsidP="006E5119">
      <w:pPr>
        <w:rPr>
          <w:lang w:val="en-GB"/>
        </w:rPr>
      </w:pPr>
    </w:p>
    <w:p w14:paraId="7489C1D2" w14:textId="77777777" w:rsidR="006E5119" w:rsidRPr="00F31385" w:rsidRDefault="006E5119" w:rsidP="006E5119">
      <w:pPr>
        <w:jc w:val="both"/>
        <w:rPr>
          <w:iCs/>
        </w:rPr>
      </w:pPr>
      <w:r w:rsidRPr="00F31385">
        <w:rPr>
          <w:iCs/>
        </w:rPr>
        <w:t xml:space="preserve">The design of the </w:t>
      </w:r>
      <w:r w:rsidRPr="00836AEA">
        <w:t>intergovernmental</w:t>
      </w:r>
      <w:r w:rsidRPr="00F31385">
        <w:rPr>
          <w:iCs/>
        </w:rPr>
        <w:t xml:space="preserve"> transfer system </w:t>
      </w:r>
      <w:r w:rsidRPr="003C6C97">
        <w:rPr>
          <w:iCs/>
        </w:rPr>
        <w:t>should be</w:t>
      </w:r>
      <w:r w:rsidRPr="00F31385">
        <w:rPr>
          <w:iCs/>
        </w:rPr>
        <w:t xml:space="preserve"> based on the principles of efficiency and equity of local service provision. </w:t>
      </w:r>
      <w:proofErr w:type="spellStart"/>
      <w:r w:rsidRPr="00F31385">
        <w:rPr>
          <w:iCs/>
        </w:rPr>
        <w:t>Boadway</w:t>
      </w:r>
      <w:proofErr w:type="spellEnd"/>
      <w:r w:rsidRPr="00F31385">
        <w:rPr>
          <w:iCs/>
        </w:rPr>
        <w:t xml:space="preserve"> and Shah argue that some of the guiding principles in the design of fiscal transfers are</w:t>
      </w:r>
      <w:r w:rsidRPr="00F31385">
        <w:rPr>
          <w:rStyle w:val="FootnoteReference"/>
          <w:iCs/>
        </w:rPr>
        <w:footnoteReference w:id="4"/>
      </w:r>
      <w:r w:rsidRPr="00F31385">
        <w:rPr>
          <w:iCs/>
        </w:rPr>
        <w:t>:</w:t>
      </w:r>
    </w:p>
    <w:p w14:paraId="63DD93EB" w14:textId="77777777" w:rsidR="006E5119" w:rsidRPr="00F31385" w:rsidRDefault="006E5119" w:rsidP="006E5119">
      <w:pPr>
        <w:jc w:val="both"/>
        <w:rPr>
          <w:i/>
          <w:iCs/>
        </w:rPr>
      </w:pPr>
      <w:bookmarkStart w:id="8" w:name="_Toc253620524"/>
      <w:r w:rsidRPr="00F31385">
        <w:rPr>
          <w:i/>
          <w:iCs/>
        </w:rPr>
        <w:t xml:space="preserve">1. Clarity </w:t>
      </w:r>
      <w:r w:rsidRPr="003C6C97">
        <w:rPr>
          <w:i/>
          <w:iCs/>
        </w:rPr>
        <w:t xml:space="preserve">in </w:t>
      </w:r>
      <w:proofErr w:type="gramStart"/>
      <w:r w:rsidRPr="003C6C97">
        <w:rPr>
          <w:i/>
          <w:iCs/>
        </w:rPr>
        <w:t>grant</w:t>
      </w:r>
      <w:proofErr w:type="gramEnd"/>
      <w:r w:rsidRPr="003C6C97">
        <w:rPr>
          <w:i/>
          <w:iCs/>
        </w:rPr>
        <w:t xml:space="preserve"> objectives</w:t>
      </w:r>
      <w:r w:rsidRPr="00F31385">
        <w:rPr>
          <w:i/>
          <w:iCs/>
        </w:rPr>
        <w:t>. Grant objectives should be clearly and precisely specified to guide grant design.</w:t>
      </w:r>
      <w:bookmarkEnd w:id="8"/>
    </w:p>
    <w:p w14:paraId="46807750" w14:textId="77777777" w:rsidR="006E5119" w:rsidRPr="00F31385" w:rsidRDefault="006E5119" w:rsidP="006E5119">
      <w:pPr>
        <w:jc w:val="both"/>
        <w:rPr>
          <w:i/>
          <w:iCs/>
        </w:rPr>
      </w:pPr>
      <w:bookmarkStart w:id="9" w:name="_Toc253620525"/>
      <w:r w:rsidRPr="00F31385">
        <w:rPr>
          <w:i/>
          <w:iCs/>
        </w:rPr>
        <w:t>2. Autonomy. Subnational governments should have complete independence and flexibility in setting priorities. They should not be constrained by the categorical structure of programs and uncertainty associated with decision-making at the center. Tax-base sharing—allowing subnational governments to introduce their own tax rates on central bases, formula-based revenue sharing, or block grants—is consistent with this objective.</w:t>
      </w:r>
      <w:bookmarkEnd w:id="9"/>
    </w:p>
    <w:p w14:paraId="496E02D7" w14:textId="77777777" w:rsidR="006E5119" w:rsidRPr="00F31385" w:rsidRDefault="006E5119" w:rsidP="006E5119">
      <w:pPr>
        <w:jc w:val="both"/>
        <w:rPr>
          <w:i/>
          <w:iCs/>
        </w:rPr>
      </w:pPr>
      <w:bookmarkStart w:id="10" w:name="_Toc253620526"/>
      <w:r w:rsidRPr="00F31385">
        <w:rPr>
          <w:i/>
          <w:iCs/>
        </w:rPr>
        <w:t>3. Revenue adequacy. Subnational governments should have adequate revenues to discharge designated responsibilities.</w:t>
      </w:r>
      <w:bookmarkEnd w:id="10"/>
    </w:p>
    <w:p w14:paraId="1C6FD696" w14:textId="77777777" w:rsidR="006E5119" w:rsidRPr="00F31385" w:rsidRDefault="006E5119" w:rsidP="006E5119">
      <w:pPr>
        <w:jc w:val="both"/>
        <w:rPr>
          <w:i/>
          <w:iCs/>
        </w:rPr>
      </w:pPr>
      <w:bookmarkStart w:id="11" w:name="_Toc253620527"/>
      <w:r w:rsidRPr="00F31385">
        <w:rPr>
          <w:i/>
          <w:iCs/>
        </w:rPr>
        <w:t>4. Equity (fairness). Allocated funds should vary directly with fiscal need factors and inversely with the tax capacity of each jurisdiction.</w:t>
      </w:r>
      <w:bookmarkEnd w:id="11"/>
    </w:p>
    <w:p w14:paraId="0988023A" w14:textId="77777777" w:rsidR="006E5119" w:rsidRPr="00F31385" w:rsidRDefault="006E5119" w:rsidP="006E5119">
      <w:pPr>
        <w:jc w:val="both"/>
        <w:rPr>
          <w:i/>
          <w:iCs/>
        </w:rPr>
      </w:pPr>
      <w:bookmarkStart w:id="12" w:name="_Toc253620528"/>
      <w:r w:rsidRPr="00F31385">
        <w:rPr>
          <w:i/>
          <w:iCs/>
        </w:rPr>
        <w:t xml:space="preserve">5. Predictability. The grant mechanism should ensure predictability of subnational governments’ shares by publishing five-year projections of funding availability. The grant formula should specify ceilings and floors for yearly fluctuations. </w:t>
      </w:r>
      <w:proofErr w:type="gramStart"/>
      <w:r w:rsidRPr="00F31385">
        <w:rPr>
          <w:i/>
          <w:iCs/>
        </w:rPr>
        <w:t>Any major changes in the formula should be accompanied by hold harmless or grandfathering provisions</w:t>
      </w:r>
      <w:proofErr w:type="gramEnd"/>
      <w:r w:rsidRPr="00F31385">
        <w:rPr>
          <w:i/>
          <w:iCs/>
        </w:rPr>
        <w:t>.</w:t>
      </w:r>
      <w:bookmarkEnd w:id="12"/>
    </w:p>
    <w:p w14:paraId="41CA145B" w14:textId="77777777" w:rsidR="006E5119" w:rsidRPr="00F31385" w:rsidRDefault="006E5119" w:rsidP="006E5119">
      <w:pPr>
        <w:jc w:val="both"/>
        <w:rPr>
          <w:i/>
          <w:iCs/>
        </w:rPr>
      </w:pPr>
      <w:bookmarkStart w:id="13" w:name="_Toc253620529"/>
      <w:r w:rsidRPr="00F31385">
        <w:rPr>
          <w:i/>
          <w:iCs/>
        </w:rPr>
        <w:t>6. Transparency. Both the formula and the allocations should be disseminated widely, in order to achieve as broad a consensus as possible on the objectives and operation of the program.</w:t>
      </w:r>
      <w:bookmarkEnd w:id="13"/>
    </w:p>
    <w:p w14:paraId="007BC420" w14:textId="77777777" w:rsidR="006E5119" w:rsidRDefault="006E5119" w:rsidP="003C6C97">
      <w:pPr>
        <w:jc w:val="both"/>
      </w:pPr>
      <w:bookmarkStart w:id="14" w:name="_Toc253620530"/>
      <w:r w:rsidRPr="00F31385">
        <w:rPr>
          <w:i/>
          <w:iCs/>
        </w:rPr>
        <w:t>7. Efficiency. The grant design should be neutral with respect to subnational governments’ choices of resource allocation to different sectors or types of activity.</w:t>
      </w:r>
      <w:bookmarkEnd w:id="14"/>
      <w:r w:rsidR="003C6C97">
        <w:t xml:space="preserve"> </w:t>
      </w:r>
    </w:p>
    <w:p w14:paraId="271FA3AB" w14:textId="77777777" w:rsidR="006E5119" w:rsidRDefault="006E5119" w:rsidP="006E5119">
      <w:pPr>
        <w:rPr>
          <w:rFonts w:asciiTheme="majorHAnsi" w:eastAsiaTheme="majorEastAsia" w:hAnsiTheme="majorHAnsi" w:cstheme="majorBidi"/>
          <w:b/>
          <w:bCs/>
          <w:color w:val="4F81BD" w:themeColor="accent1"/>
          <w:sz w:val="26"/>
          <w:szCs w:val="26"/>
        </w:rPr>
      </w:pPr>
      <w:r>
        <w:br w:type="page"/>
      </w:r>
    </w:p>
    <w:p w14:paraId="03D698C3" w14:textId="77777777" w:rsidR="006E5119" w:rsidRPr="002F1FA6" w:rsidRDefault="006E5119" w:rsidP="006E5119">
      <w:pPr>
        <w:pStyle w:val="Heading2"/>
      </w:pPr>
      <w:bookmarkStart w:id="15" w:name="_Toc253791339"/>
      <w:r>
        <w:lastRenderedPageBreak/>
        <w:t xml:space="preserve">2.3 The issue of revenue </w:t>
      </w:r>
      <w:r w:rsidRPr="002F1FA6">
        <w:t>adequacy</w:t>
      </w:r>
      <w:bookmarkEnd w:id="15"/>
    </w:p>
    <w:p w14:paraId="5AAF3450" w14:textId="77777777" w:rsidR="006E5119" w:rsidRPr="00E848A7" w:rsidRDefault="006E5119" w:rsidP="006E5119"/>
    <w:p w14:paraId="0E76BD7D" w14:textId="77777777" w:rsidR="006E5119" w:rsidRPr="00F31385" w:rsidRDefault="006E5119" w:rsidP="006E5119">
      <w:pPr>
        <w:jc w:val="both"/>
      </w:pPr>
      <w:r w:rsidRPr="00F31385">
        <w:t>At a time when functions and responsibilities of local government</w:t>
      </w:r>
      <w:r>
        <w:t>s</w:t>
      </w:r>
      <w:r w:rsidRPr="00F31385">
        <w:t xml:space="preserve"> keep growing, fiscal decentralization and intergovernmental transfers have not grown at the same pace, thus resulting in unfunded mandates to support local infrastructure. </w:t>
      </w:r>
    </w:p>
    <w:p w14:paraId="7C502D16" w14:textId="77777777" w:rsidR="006E5119" w:rsidRPr="00F31385" w:rsidRDefault="006E5119" w:rsidP="006E5119">
      <w:pPr>
        <w:jc w:val="both"/>
      </w:pPr>
      <w:r w:rsidRPr="00F31385">
        <w:t xml:space="preserve">Relatively weak local capacities and structural and institutional complications (including changes in the structure of local financing in the 2009 – 2014 period, as well as </w:t>
      </w:r>
      <w:r>
        <w:t>considerations of potential</w:t>
      </w:r>
      <w:r w:rsidRPr="00F31385">
        <w:t xml:space="preserve"> political </w:t>
      </w:r>
      <w:r>
        <w:t xml:space="preserve">costs </w:t>
      </w:r>
      <w:r w:rsidRPr="00F31385">
        <w:t xml:space="preserve">of raising more taxes) remain obstacles to strengthening decentralized governance. Strengthening local </w:t>
      </w:r>
      <w:r>
        <w:t xml:space="preserve">management </w:t>
      </w:r>
      <w:r w:rsidRPr="00F31385">
        <w:t xml:space="preserve">capacities </w:t>
      </w:r>
      <w:r w:rsidR="003C6C97">
        <w:t xml:space="preserve">is correlated with </w:t>
      </w:r>
      <w:r w:rsidRPr="00F31385">
        <w:t>several factors, in particular strengthening of fiscal autonomy through fiscal authority to generate revenues (taxes and service fees); as well as predictability and stability of intergovernmental fiscal transfers. Although as mentioned the majority of local government</w:t>
      </w:r>
      <w:r>
        <w:t>s</w:t>
      </w:r>
      <w:r w:rsidRPr="00F31385">
        <w:t xml:space="preserve"> are overly dependent on state budget transfers, the weight of revenue from locally derived sources and the unconditional transfer has been growing. </w:t>
      </w:r>
    </w:p>
    <w:p w14:paraId="2ADEAC8A" w14:textId="77777777" w:rsidR="006E5119" w:rsidRPr="00F31385" w:rsidRDefault="006E5119" w:rsidP="006E5119">
      <w:pPr>
        <w:jc w:val="both"/>
      </w:pPr>
      <w:r w:rsidRPr="00F31385">
        <w:t>In the circumstances of “competition” for budgetary funds and modest capacities to locally generate revenues, local government units are short of funds to finance investments, in particular for high demand investments such as road and water supply infrastructure. Their budgets are typically small.  The Regional Development Fund that awards grants for investments</w:t>
      </w:r>
      <w:r>
        <w:t xml:space="preserve"> </w:t>
      </w:r>
      <w:r w:rsidRPr="00F31385">
        <w:t xml:space="preserve">remains small to meet all demands; while fiscal austerity measures enforced by the Ministry of Finance indicate that they will not grow in the short term. </w:t>
      </w:r>
    </w:p>
    <w:p w14:paraId="3B8DF43D" w14:textId="77777777" w:rsidR="006E5119" w:rsidRDefault="006E5119" w:rsidP="003C6C97">
      <w:pPr>
        <w:jc w:val="both"/>
        <w:rPr>
          <w:lang w:val="en-GB"/>
        </w:rPr>
      </w:pPr>
    </w:p>
    <w:p w14:paraId="4FDF9449" w14:textId="77777777" w:rsidR="006E5119" w:rsidRPr="00F31385" w:rsidRDefault="006E5119" w:rsidP="006E5119">
      <w:pPr>
        <w:pStyle w:val="Heading2"/>
        <w:jc w:val="both"/>
        <w:rPr>
          <w:rFonts w:asciiTheme="minorHAnsi" w:hAnsiTheme="minorHAnsi"/>
          <w:lang w:val="en-GB"/>
        </w:rPr>
      </w:pPr>
      <w:bookmarkStart w:id="16" w:name="_Toc253791340"/>
      <w:r w:rsidRPr="00F31385">
        <w:rPr>
          <w:rFonts w:asciiTheme="minorHAnsi" w:hAnsiTheme="minorHAnsi"/>
          <w:lang w:val="en-GB"/>
        </w:rPr>
        <w:t>2.</w:t>
      </w:r>
      <w:r>
        <w:rPr>
          <w:rFonts w:asciiTheme="minorHAnsi" w:hAnsiTheme="minorHAnsi"/>
          <w:lang w:val="en-GB"/>
        </w:rPr>
        <w:t>4</w:t>
      </w:r>
      <w:r w:rsidRPr="00F31385">
        <w:rPr>
          <w:rFonts w:asciiTheme="minorHAnsi" w:hAnsiTheme="minorHAnsi"/>
          <w:lang w:val="en-GB"/>
        </w:rPr>
        <w:t xml:space="preserve"> The key role of revenue estimation for budget credibility</w:t>
      </w:r>
      <w:bookmarkEnd w:id="16"/>
    </w:p>
    <w:p w14:paraId="4F48A356" w14:textId="77777777" w:rsidR="006E5119" w:rsidRPr="00F31385" w:rsidRDefault="006E5119" w:rsidP="006E5119">
      <w:pPr>
        <w:jc w:val="both"/>
        <w:rPr>
          <w:lang w:val="en-GB"/>
        </w:rPr>
      </w:pPr>
    </w:p>
    <w:p w14:paraId="30AF0CE2" w14:textId="77777777" w:rsidR="006E5119" w:rsidRDefault="006E5119" w:rsidP="006E5119">
      <w:pPr>
        <w:jc w:val="both"/>
      </w:pPr>
      <w:r w:rsidRPr="00F31385">
        <w:t>Local governments cannot manage their finances successfully or effectively if they cannot predict what their revenues will be for future years. Strategic development planning (and medium term budget planning) is based on the projection of expected revenues and expenditures over a medium term. The uncertainty of income over the medium period may seriously undermine efforts for strategic governance at the local level.</w:t>
      </w:r>
      <w:r>
        <w:t xml:space="preserve"> Therefore, o</w:t>
      </w:r>
      <w:r w:rsidRPr="00F31385">
        <w:t xml:space="preserve">ne of the key features of a good financial management system is predictability and credibility of the budget, as also set out in the </w:t>
      </w:r>
      <w:proofErr w:type="spellStart"/>
      <w:r w:rsidRPr="00F31385">
        <w:t>PEFA</w:t>
      </w:r>
      <w:proofErr w:type="spellEnd"/>
      <w:r w:rsidRPr="00F31385">
        <w:t xml:space="preserve"> framework.  In terms of revenue </w:t>
      </w:r>
      <w:r w:rsidRPr="003C6C97">
        <w:t>assignments, this</w:t>
      </w:r>
      <w:r w:rsidRPr="00F31385">
        <w:t xml:space="preserve"> implies that revenues realized in the course of the budget year are very close to the revenue forecast. </w:t>
      </w:r>
    </w:p>
    <w:p w14:paraId="468E107E" w14:textId="77777777" w:rsidR="006E5119" w:rsidRPr="00F31385" w:rsidRDefault="006E5119" w:rsidP="006E5119">
      <w:pPr>
        <w:jc w:val="both"/>
      </w:pPr>
      <w:r w:rsidRPr="00F31385">
        <w:t xml:space="preserve">Previous studies and reports have indicated that budget credibility at the local level is very low – there are large discrepancies in the actual level of revenues and eventually expenditures as compared to budget forecasts. Partially this is due in recent years to the general economic downturn that has caused tax income to fall both at the central and local level. Nonetheless, poor budget compliance on the revenue side is often intentional.  The local budget in Albania needs to be balanced (0 deficit). Hence, local governments tend to overestimate revenues in order to be able to incur more expenditure. As </w:t>
      </w:r>
      <w:r w:rsidRPr="00F31385">
        <w:lastRenderedPageBreak/>
        <w:t>there is no system for commitment accounting, local governments incur expenditures during the budget years that they are not able to fund; hence creating arrears that are carried over for years.</w:t>
      </w:r>
    </w:p>
    <w:p w14:paraId="531B9C2C" w14:textId="77777777" w:rsidR="006E5119" w:rsidRPr="00F31385" w:rsidRDefault="006E5119" w:rsidP="006E5119">
      <w:pPr>
        <w:jc w:val="both"/>
      </w:pPr>
    </w:p>
    <w:p w14:paraId="65431B20" w14:textId="77777777" w:rsidR="006E5119" w:rsidRPr="00F31385" w:rsidRDefault="006E5119" w:rsidP="006E5119">
      <w:pPr>
        <w:pStyle w:val="Heading2"/>
        <w:jc w:val="both"/>
        <w:rPr>
          <w:rFonts w:asciiTheme="minorHAnsi" w:hAnsiTheme="minorHAnsi"/>
        </w:rPr>
      </w:pPr>
      <w:bookmarkStart w:id="17" w:name="_Toc253791341"/>
      <w:r w:rsidRPr="00F31385">
        <w:rPr>
          <w:rFonts w:asciiTheme="minorHAnsi" w:hAnsiTheme="minorHAnsi"/>
        </w:rPr>
        <w:t>2.</w:t>
      </w:r>
      <w:r>
        <w:rPr>
          <w:rFonts w:asciiTheme="minorHAnsi" w:hAnsiTheme="minorHAnsi"/>
        </w:rPr>
        <w:t>5</w:t>
      </w:r>
      <w:r w:rsidRPr="00F31385">
        <w:rPr>
          <w:rFonts w:asciiTheme="minorHAnsi" w:hAnsiTheme="minorHAnsi"/>
        </w:rPr>
        <w:t xml:space="preserve"> Quality aspects of a public revenue system</w:t>
      </w:r>
      <w:bookmarkEnd w:id="17"/>
    </w:p>
    <w:p w14:paraId="5A747DFB" w14:textId="77777777" w:rsidR="006E5119" w:rsidRPr="00F31385" w:rsidRDefault="006E5119" w:rsidP="006E5119">
      <w:pPr>
        <w:jc w:val="both"/>
      </w:pPr>
    </w:p>
    <w:p w14:paraId="4211DA7A" w14:textId="77777777" w:rsidR="006E5119" w:rsidRDefault="006E5119" w:rsidP="006E5119">
      <w:pPr>
        <w:jc w:val="both"/>
      </w:pPr>
      <w:r w:rsidRPr="00F31385">
        <w:t xml:space="preserve">One important feature of any revenue source is its potential to yield revenues over and above the costs of administering it. </w:t>
      </w:r>
      <w:r w:rsidRPr="003C6C97">
        <w:t>In addition,</w:t>
      </w:r>
      <w:r>
        <w:t xml:space="preserve"> t</w:t>
      </w:r>
      <w:r w:rsidRPr="00F31385">
        <w:t xml:space="preserve">axation equity and the incentives (or disincentives) that a tax creates are very important factors - the rate of the tax and the burden it creates should be such that it does not adversely affect the behavior of taxpayers, whereas taxpayers in similar conditions (or benefiting similar public services) should be levied the same amount of taxes. </w:t>
      </w:r>
    </w:p>
    <w:p w14:paraId="41F7616C" w14:textId="77777777" w:rsidR="006E5119" w:rsidRPr="00F31385" w:rsidRDefault="006E5119" w:rsidP="006E5119">
      <w:pPr>
        <w:jc w:val="both"/>
      </w:pPr>
      <w:r w:rsidRPr="00F31385">
        <w:t xml:space="preserve">However, in a transition country like Albania, the tax </w:t>
      </w:r>
      <w:r w:rsidRPr="00B40ED9">
        <w:t>administration procedures also prove to be a critical aspect of the success or failure of the tax. High administrative burden of tax declaration and payment may increase a potential taxpayer’s propensity to evasion, in addition inappropriate</w:t>
      </w:r>
      <w:r w:rsidRPr="00F31385">
        <w:t xml:space="preserve"> procedures for setting and applying the tax base and rate; </w:t>
      </w:r>
      <w:r w:rsidR="00F61312">
        <w:t xml:space="preserve">or arbitrary procedures for estimating tax liabilities </w:t>
      </w:r>
      <w:r w:rsidRPr="00F31385">
        <w:t>may affect tax collections as well as create inequities in the burden of tax. Such risks are reinforced under the presence of large and deep informality.</w:t>
      </w:r>
    </w:p>
    <w:p w14:paraId="4A6143AD" w14:textId="77777777" w:rsidR="006E5119" w:rsidRPr="00F31385" w:rsidRDefault="006E5119" w:rsidP="006E5119">
      <w:pPr>
        <w:pStyle w:val="Heading1"/>
        <w:pageBreakBefore/>
        <w:jc w:val="both"/>
        <w:rPr>
          <w:rFonts w:asciiTheme="minorHAnsi" w:hAnsiTheme="minorHAnsi"/>
          <w:lang w:val="en-GB"/>
        </w:rPr>
      </w:pPr>
      <w:bookmarkStart w:id="18" w:name="_Toc253791342"/>
      <w:r w:rsidRPr="00F31385">
        <w:rPr>
          <w:rFonts w:asciiTheme="minorHAnsi" w:hAnsiTheme="minorHAnsi"/>
          <w:lang w:val="en-GB"/>
        </w:rPr>
        <w:lastRenderedPageBreak/>
        <w:t>3 Development of revenues since 2008</w:t>
      </w:r>
      <w:bookmarkEnd w:id="18"/>
    </w:p>
    <w:p w14:paraId="106E1CB7" w14:textId="77777777" w:rsidR="006E5119" w:rsidRDefault="006E5119" w:rsidP="006E5119">
      <w:pPr>
        <w:jc w:val="both"/>
        <w:rPr>
          <w:lang w:val="en-GB"/>
        </w:rPr>
      </w:pPr>
    </w:p>
    <w:p w14:paraId="6B505C4A" w14:textId="77777777" w:rsidR="00F61312" w:rsidRPr="00F31385" w:rsidRDefault="00F61312" w:rsidP="006E5119">
      <w:pPr>
        <w:jc w:val="both"/>
        <w:rPr>
          <w:lang w:val="en-GB"/>
        </w:rPr>
      </w:pPr>
      <w:r>
        <w:rPr>
          <w:lang w:val="en-GB"/>
        </w:rPr>
        <w:t xml:space="preserve">This chapter looks in detail at the performance of the local revenue system over the years. It gives an overview of the development of different local sources of revenues – own source revenues and tax income and intergovernmental transfers. </w:t>
      </w:r>
    </w:p>
    <w:p w14:paraId="04F16B7D" w14:textId="77777777" w:rsidR="006E5119" w:rsidRPr="00F31385" w:rsidRDefault="006E5119" w:rsidP="006E5119">
      <w:pPr>
        <w:pStyle w:val="Heading2"/>
        <w:jc w:val="both"/>
        <w:rPr>
          <w:rFonts w:asciiTheme="minorHAnsi" w:hAnsiTheme="minorHAnsi"/>
        </w:rPr>
      </w:pPr>
      <w:bookmarkStart w:id="19" w:name="_Toc253791343"/>
      <w:r w:rsidRPr="00F31385">
        <w:rPr>
          <w:rFonts w:asciiTheme="minorHAnsi" w:hAnsiTheme="minorHAnsi"/>
          <w:lang w:val="en-GB"/>
        </w:rPr>
        <w:t>3.1 R</w:t>
      </w:r>
      <w:proofErr w:type="spellStart"/>
      <w:r w:rsidRPr="00F31385">
        <w:rPr>
          <w:rFonts w:asciiTheme="minorHAnsi" w:hAnsiTheme="minorHAnsi"/>
        </w:rPr>
        <w:t>evenue</w:t>
      </w:r>
      <w:proofErr w:type="spellEnd"/>
      <w:r w:rsidRPr="00F31385">
        <w:rPr>
          <w:rFonts w:asciiTheme="minorHAnsi" w:hAnsiTheme="minorHAnsi"/>
        </w:rPr>
        <w:t xml:space="preserve"> assignment</w:t>
      </w:r>
      <w:bookmarkEnd w:id="19"/>
    </w:p>
    <w:p w14:paraId="3CB53D67" w14:textId="77777777" w:rsidR="006E5119" w:rsidRPr="00F31385" w:rsidRDefault="006E5119" w:rsidP="006E5119">
      <w:pPr>
        <w:spacing w:before="120"/>
        <w:jc w:val="both"/>
      </w:pPr>
      <w:r w:rsidRPr="00F31385">
        <w:t>The Organic Local Government Law</w:t>
      </w:r>
      <w:r w:rsidR="00F61312">
        <w:t xml:space="preserve"> (8652/2000)</w:t>
      </w:r>
      <w:r w:rsidRPr="00F31385">
        <w:t xml:space="preserve"> defines a set of principles aimed at ensuring the autonomy and financing of local governments, by giving them the opportunity to have </w:t>
      </w:r>
    </w:p>
    <w:p w14:paraId="10016B97" w14:textId="77777777" w:rsidR="006E5119" w:rsidRPr="00F31385" w:rsidRDefault="006E5119" w:rsidP="006E5119">
      <w:pPr>
        <w:numPr>
          <w:ilvl w:val="0"/>
          <w:numId w:val="11"/>
        </w:numPr>
        <w:spacing w:before="120" w:after="120" w:line="240" w:lineRule="auto"/>
        <w:jc w:val="both"/>
      </w:pPr>
      <w:r w:rsidRPr="00F31385">
        <w:t xml:space="preserve">Diversified sources of revenue for fiscal self-sufficiency; </w:t>
      </w:r>
    </w:p>
    <w:p w14:paraId="21894B29" w14:textId="77777777" w:rsidR="006E5119" w:rsidRPr="00F31385" w:rsidRDefault="006E5119" w:rsidP="006E5119">
      <w:pPr>
        <w:numPr>
          <w:ilvl w:val="1"/>
          <w:numId w:val="11"/>
        </w:numPr>
        <w:tabs>
          <w:tab w:val="clear" w:pos="2160"/>
        </w:tabs>
        <w:spacing w:before="120" w:after="120" w:line="240" w:lineRule="auto"/>
        <w:ind w:left="1080" w:hanging="360"/>
        <w:jc w:val="both"/>
      </w:pPr>
      <w:r w:rsidRPr="00F31385">
        <w:t>Raise revenue independently from taxes and fees, in order to have sufficient autonomy in financing and execution of functions</w:t>
      </w:r>
    </w:p>
    <w:p w14:paraId="2B152C6D" w14:textId="77777777" w:rsidR="006E5119" w:rsidRPr="00F31385" w:rsidRDefault="006E5119" w:rsidP="006E5119">
      <w:pPr>
        <w:numPr>
          <w:ilvl w:val="1"/>
          <w:numId w:val="11"/>
        </w:numPr>
        <w:tabs>
          <w:tab w:val="clear" w:pos="2160"/>
        </w:tabs>
        <w:spacing w:before="120" w:after="120" w:line="240" w:lineRule="auto"/>
        <w:ind w:left="1080" w:hanging="360"/>
        <w:jc w:val="both"/>
      </w:pPr>
      <w:r w:rsidRPr="00F31385">
        <w:t xml:space="preserve">Receive revenue from national sources through transfers or shared taxes; </w:t>
      </w:r>
    </w:p>
    <w:p w14:paraId="665624D7" w14:textId="77777777" w:rsidR="006E5119" w:rsidRPr="00F31385" w:rsidRDefault="006E5119" w:rsidP="006E5119">
      <w:pPr>
        <w:numPr>
          <w:ilvl w:val="1"/>
          <w:numId w:val="11"/>
        </w:numPr>
        <w:tabs>
          <w:tab w:val="clear" w:pos="2160"/>
        </w:tabs>
        <w:spacing w:before="120" w:after="120" w:line="240" w:lineRule="auto"/>
        <w:ind w:left="1080" w:hanging="360"/>
        <w:jc w:val="both"/>
      </w:pPr>
      <w:r w:rsidRPr="00F31385">
        <w:t>Have a uniform consolidated local budget, distinct from the state budget.</w:t>
      </w:r>
      <w:r w:rsidRPr="00F31385">
        <w:rPr>
          <w:rStyle w:val="FootnoteReference"/>
        </w:rPr>
        <w:footnoteReference w:id="5"/>
      </w:r>
    </w:p>
    <w:p w14:paraId="11D044BE" w14:textId="77777777" w:rsidR="006E5119" w:rsidRPr="00F31385" w:rsidRDefault="006E5119" w:rsidP="006E5119">
      <w:pPr>
        <w:spacing w:before="120"/>
        <w:jc w:val="both"/>
      </w:pPr>
      <w:r w:rsidRPr="00F31385">
        <w:t xml:space="preserve">Local fiscal revenues are composed of “locally derived revenues” (local taxes and fees and other revenue from economic activity), “revenue derived from national sources” – unconditional transfers and shared taxes, as well as conditional transfers. The focus during the first period of fiscal </w:t>
      </w:r>
      <w:proofErr w:type="spellStart"/>
      <w:r w:rsidRPr="00F31385">
        <w:t>decentralisation</w:t>
      </w:r>
      <w:proofErr w:type="spellEnd"/>
      <w:r w:rsidRPr="00F31385">
        <w:t xml:space="preserve"> (until 2002) was the development of an appropriate, formula-based equalizing unconditional transfer and strengthening of the local tax base and tax administration capacities.</w:t>
      </w:r>
    </w:p>
    <w:p w14:paraId="7DE9F16E" w14:textId="77777777" w:rsidR="006E5119" w:rsidRPr="00F31385" w:rsidRDefault="006E5119" w:rsidP="006E5119">
      <w:pPr>
        <w:spacing w:before="120"/>
        <w:jc w:val="both"/>
        <w:rPr>
          <w:rFonts w:cs="Times New Roman"/>
        </w:rPr>
      </w:pPr>
      <w:r w:rsidRPr="00F31385">
        <w:t xml:space="preserve">The first significant progress in the fiscal decentralization reform was made with the enforcement of the local fiscal package of 2003, which defined new local taxes, and fees, expanded local taxing authorities by granting them discretion in imposing tax rates (within a fixed margin of the indicative rate set forth in the law), as well as gave them full authority to define the base and rate of service fees and other temporary fees according to the local policy. As a result, local government revenues grew significantly, although the local government revenue share of GDP remained low, at around </w:t>
      </w:r>
      <w:r>
        <w:t>3</w:t>
      </w:r>
      <w:r w:rsidRPr="00F31385">
        <w:t xml:space="preserve">%. </w:t>
      </w:r>
      <w:r>
        <w:rPr>
          <w:rFonts w:cs="Times New Roman"/>
        </w:rPr>
        <w:t>C</w:t>
      </w:r>
      <w:r w:rsidRPr="00F31385">
        <w:rPr>
          <w:rFonts w:cs="Times New Roman"/>
        </w:rPr>
        <w:t>hanges in 20</w:t>
      </w:r>
      <w:r w:rsidRPr="00753B89">
        <w:rPr>
          <w:rFonts w:cs="Times New Roman"/>
        </w:rPr>
        <w:t>09</w:t>
      </w:r>
      <w:r w:rsidRPr="00F31385">
        <w:rPr>
          <w:rFonts w:cs="Times New Roman"/>
        </w:rPr>
        <w:t xml:space="preserve"> and 2010 to the local tax system </w:t>
      </w:r>
      <w:r w:rsidRPr="00F61312">
        <w:rPr>
          <w:rFonts w:cs="Times New Roman"/>
        </w:rPr>
        <w:t>legislation had</w:t>
      </w:r>
      <w:r w:rsidRPr="00F31385">
        <w:rPr>
          <w:rFonts w:cs="Times New Roman"/>
        </w:rPr>
        <w:t xml:space="preserve"> dramatic impact in the potential for own source revenues by severely limiting local fiscal potential. The enactment of these changes coincided with the onset of the economic slow-down in Albania. As a </w:t>
      </w:r>
      <w:r w:rsidRPr="00F61312">
        <w:rPr>
          <w:rFonts w:cs="Times New Roman"/>
        </w:rPr>
        <w:t>result, the local financial situation has been quite difficult, due to the reduced fiscal potential, the negative economic outlook, as well as the general fiscal austerity policy undertaken by the central government, which foresees major cuts in budget expenditures including intergovernmental grants.</w:t>
      </w:r>
    </w:p>
    <w:p w14:paraId="12E002F3" w14:textId="77777777" w:rsidR="006E5119" w:rsidRPr="00F31385" w:rsidRDefault="006E5119" w:rsidP="006E5119">
      <w:pPr>
        <w:spacing w:before="120"/>
        <w:jc w:val="both"/>
      </w:pPr>
    </w:p>
    <w:p w14:paraId="36DDCCAA" w14:textId="77777777" w:rsidR="006E5119" w:rsidRPr="00F31385" w:rsidRDefault="006E5119" w:rsidP="006E5119">
      <w:pPr>
        <w:pStyle w:val="Heading2"/>
        <w:jc w:val="both"/>
        <w:rPr>
          <w:rFonts w:asciiTheme="minorHAnsi" w:hAnsiTheme="minorHAnsi"/>
        </w:rPr>
      </w:pPr>
      <w:bookmarkStart w:id="20" w:name="_Toc253791344"/>
      <w:r w:rsidRPr="00F31385">
        <w:rPr>
          <w:rFonts w:asciiTheme="minorHAnsi" w:hAnsiTheme="minorHAnsi"/>
        </w:rPr>
        <w:lastRenderedPageBreak/>
        <w:t xml:space="preserve">3.2 Development of </w:t>
      </w:r>
      <w:proofErr w:type="spellStart"/>
      <w:r w:rsidRPr="00F31385">
        <w:rPr>
          <w:rFonts w:asciiTheme="minorHAnsi" w:hAnsiTheme="minorHAnsi"/>
        </w:rPr>
        <w:t>LGU</w:t>
      </w:r>
      <w:proofErr w:type="spellEnd"/>
      <w:r w:rsidRPr="00F31385">
        <w:rPr>
          <w:rFonts w:asciiTheme="minorHAnsi" w:hAnsiTheme="minorHAnsi"/>
        </w:rPr>
        <w:t xml:space="preserve"> revenues in total</w:t>
      </w:r>
      <w:bookmarkEnd w:id="20"/>
    </w:p>
    <w:p w14:paraId="76016BEC" w14:textId="77777777" w:rsidR="006E5119" w:rsidRPr="00F31385" w:rsidRDefault="006E5119" w:rsidP="006E5119">
      <w:pPr>
        <w:spacing w:before="120"/>
        <w:jc w:val="both"/>
      </w:pPr>
      <w:r w:rsidRPr="00F31385">
        <w:t xml:space="preserve">The share of local tax revenues in the total local government revenues decreased over the period, from 31% in 2008 to 26% in 2012. In absolute figures, tax collections at the local level were almost the same </w:t>
      </w:r>
      <w:r w:rsidRPr="00F61312">
        <w:t>in 2012</w:t>
      </w:r>
      <w:r w:rsidRPr="00F31385">
        <w:t xml:space="preserve"> as those in 2</w:t>
      </w:r>
      <w:r w:rsidR="00F61312">
        <w:t xml:space="preserve">008. The unconditional </w:t>
      </w:r>
      <w:proofErr w:type="gramStart"/>
      <w:r w:rsidR="00F61312">
        <w:t>transfer</w:t>
      </w:r>
      <w:r w:rsidRPr="00F31385">
        <w:t xml:space="preserve"> also decreased for the first time in 2009, and </w:t>
      </w:r>
      <w:r w:rsidRPr="00E60DC0">
        <w:rPr>
          <w:strike/>
        </w:rPr>
        <w:t>were</w:t>
      </w:r>
      <w:proofErr w:type="gramEnd"/>
      <w:r w:rsidRPr="00F31385">
        <w:t xml:space="preserve"> kept at steady levels since, although its relative share in </w:t>
      </w:r>
      <w:r w:rsidR="00F61312">
        <w:t>total local government revenues</w:t>
      </w:r>
      <w:r w:rsidRPr="00F31385">
        <w:t xml:space="preserve"> decreased as well. Conditional transfers </w:t>
      </w:r>
      <w:r w:rsidRPr="00F61312">
        <w:t>grew</w:t>
      </w:r>
      <w:r w:rsidRPr="00F31385">
        <w:t xml:space="preserve"> since 2005, mainly due to an increase in earmarked transfers for cash assistance </w:t>
      </w:r>
      <w:proofErr w:type="spellStart"/>
      <w:r w:rsidRPr="00F31385">
        <w:t>programmes</w:t>
      </w:r>
      <w:proofErr w:type="spellEnd"/>
      <w:r w:rsidRPr="00F31385">
        <w:t xml:space="preserve"> to the poor and </w:t>
      </w:r>
      <w:r w:rsidRPr="00F61312">
        <w:t>disabled. It is</w:t>
      </w:r>
      <w:r w:rsidRPr="00F31385">
        <w:t xml:space="preserve"> obvious from the data that still to da</w:t>
      </w:r>
      <w:r>
        <w:t>te nationally derived revenues</w:t>
      </w:r>
      <w:r w:rsidRPr="00F31385">
        <w:t xml:space="preserve"> constitute a large part of the local revenues, with many local governments heavily </w:t>
      </w:r>
      <w:proofErr w:type="spellStart"/>
      <w:r w:rsidRPr="00F31385">
        <w:t>dependant</w:t>
      </w:r>
      <w:proofErr w:type="spellEnd"/>
      <w:r w:rsidRPr="00F31385">
        <w:t xml:space="preserve"> on the unconditional (general purpose) transfer as their main source of revenue.</w:t>
      </w:r>
    </w:p>
    <w:p w14:paraId="2F963898" w14:textId="77777777" w:rsidR="006E5119" w:rsidRPr="00F31385" w:rsidRDefault="006E5119" w:rsidP="006E5119">
      <w:pPr>
        <w:spacing w:before="120"/>
        <w:jc w:val="both"/>
      </w:pPr>
    </w:p>
    <w:p w14:paraId="3105DC70" w14:textId="77777777" w:rsidR="006E5119" w:rsidRPr="00F31385" w:rsidRDefault="00314B3D" w:rsidP="006E5119">
      <w:pPr>
        <w:pStyle w:val="Caption"/>
        <w:keepNext/>
        <w:jc w:val="both"/>
        <w:rPr>
          <w:rFonts w:asciiTheme="minorHAnsi" w:hAnsiTheme="minorHAnsi"/>
          <w:sz w:val="22"/>
          <w:szCs w:val="22"/>
        </w:rPr>
      </w:pPr>
      <w:proofErr w:type="gramStart"/>
      <w:r>
        <w:rPr>
          <w:rFonts w:asciiTheme="minorHAnsi" w:hAnsiTheme="minorHAnsi"/>
          <w:sz w:val="22"/>
          <w:szCs w:val="22"/>
        </w:rPr>
        <w:t>Table</w:t>
      </w:r>
      <w:r w:rsidR="006E5119" w:rsidRPr="00F31385">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SEQ Table \* ARABIC </w:instrText>
      </w:r>
      <w:r>
        <w:rPr>
          <w:rFonts w:asciiTheme="minorHAnsi" w:hAnsiTheme="minorHAnsi"/>
          <w:sz w:val="22"/>
          <w:szCs w:val="22"/>
        </w:rPr>
        <w:fldChar w:fldCharType="separate"/>
      </w:r>
      <w:r>
        <w:rPr>
          <w:rFonts w:asciiTheme="minorHAnsi" w:hAnsiTheme="minorHAnsi"/>
          <w:noProof/>
          <w:sz w:val="22"/>
          <w:szCs w:val="22"/>
        </w:rPr>
        <w:t>2</w:t>
      </w:r>
      <w:r>
        <w:rPr>
          <w:rFonts w:asciiTheme="minorHAnsi" w:hAnsiTheme="minorHAnsi"/>
          <w:sz w:val="22"/>
          <w:szCs w:val="22"/>
        </w:rPr>
        <w:fldChar w:fldCharType="end"/>
      </w:r>
      <w:r w:rsidR="006E5119" w:rsidRPr="00F31385">
        <w:rPr>
          <w:rFonts w:asciiTheme="minorHAnsi" w:hAnsiTheme="minorHAnsi"/>
          <w:sz w:val="22"/>
          <w:szCs w:val="22"/>
        </w:rPr>
        <w:t>.</w:t>
      </w:r>
      <w:proofErr w:type="gramEnd"/>
      <w:r w:rsidR="006E5119" w:rsidRPr="00F31385">
        <w:rPr>
          <w:rFonts w:asciiTheme="minorHAnsi" w:hAnsiTheme="minorHAnsi"/>
          <w:sz w:val="22"/>
          <w:szCs w:val="22"/>
        </w:rPr>
        <w:t xml:space="preserve"> Composition of local government revenues by type of financing 2008 </w:t>
      </w:r>
      <w:r w:rsidR="00F61312">
        <w:rPr>
          <w:rFonts w:asciiTheme="minorHAnsi" w:hAnsiTheme="minorHAnsi"/>
          <w:sz w:val="22"/>
          <w:szCs w:val="22"/>
        </w:rPr>
        <w:t>–</w:t>
      </w:r>
      <w:r w:rsidR="006E5119" w:rsidRPr="00F31385">
        <w:rPr>
          <w:rFonts w:asciiTheme="minorHAnsi" w:hAnsiTheme="minorHAnsi"/>
          <w:sz w:val="22"/>
          <w:szCs w:val="22"/>
        </w:rPr>
        <w:t xml:space="preserve"> 2012</w:t>
      </w:r>
      <w:r w:rsidR="00F61312">
        <w:rPr>
          <w:rFonts w:asciiTheme="minorHAnsi" w:hAnsiTheme="minorHAnsi"/>
          <w:sz w:val="22"/>
          <w:szCs w:val="22"/>
        </w:rPr>
        <w:t xml:space="preserve"> (All </w:t>
      </w:r>
      <w:proofErr w:type="spellStart"/>
      <w:r w:rsidR="00F61312">
        <w:rPr>
          <w:rFonts w:asciiTheme="minorHAnsi" w:hAnsiTheme="minorHAnsi"/>
          <w:sz w:val="22"/>
          <w:szCs w:val="22"/>
        </w:rPr>
        <w:t>LGs</w:t>
      </w:r>
      <w:proofErr w:type="spellEnd"/>
      <w:r w:rsidR="00F61312">
        <w:rPr>
          <w:rFonts w:asciiTheme="minorHAnsi" w:hAnsiTheme="minorHAnsi"/>
          <w:sz w:val="22"/>
          <w:szCs w:val="22"/>
        </w:rPr>
        <w:t>)</w:t>
      </w:r>
    </w:p>
    <w:tbl>
      <w:tblPr>
        <w:tblW w:w="8892" w:type="dxa"/>
        <w:tblInd w:w="108" w:type="dxa"/>
        <w:tblLook w:val="04A0" w:firstRow="1" w:lastRow="0" w:firstColumn="1" w:lastColumn="0" w:noHBand="0" w:noVBand="1"/>
      </w:tblPr>
      <w:tblGrid>
        <w:gridCol w:w="2228"/>
        <w:gridCol w:w="1318"/>
        <w:gridCol w:w="1316"/>
        <w:gridCol w:w="1316"/>
        <w:gridCol w:w="1396"/>
        <w:gridCol w:w="1318"/>
      </w:tblGrid>
      <w:tr w:rsidR="006E5119" w:rsidRPr="00F31385" w14:paraId="24653403" w14:textId="77777777" w:rsidTr="006E5119">
        <w:trPr>
          <w:trHeight w:val="240"/>
        </w:trPr>
        <w:tc>
          <w:tcPr>
            <w:tcW w:w="2228" w:type="dxa"/>
            <w:tcBorders>
              <w:top w:val="nil"/>
              <w:left w:val="nil"/>
              <w:bottom w:val="nil"/>
              <w:right w:val="nil"/>
            </w:tcBorders>
            <w:shd w:val="clear" w:color="auto" w:fill="auto"/>
            <w:noWrap/>
            <w:vAlign w:val="bottom"/>
            <w:hideMark/>
          </w:tcPr>
          <w:p w14:paraId="48E67786" w14:textId="77777777" w:rsidR="006E5119" w:rsidRPr="00F31385" w:rsidRDefault="006E5119" w:rsidP="006E5119">
            <w:pPr>
              <w:jc w:val="both"/>
              <w:rPr>
                <w:rFonts w:eastAsia="Times New Roman"/>
              </w:rPr>
            </w:pPr>
          </w:p>
        </w:tc>
        <w:tc>
          <w:tcPr>
            <w:tcW w:w="1318" w:type="dxa"/>
            <w:tcBorders>
              <w:top w:val="single" w:sz="4" w:space="0" w:color="auto"/>
              <w:left w:val="nil"/>
              <w:bottom w:val="single" w:sz="4" w:space="0" w:color="auto"/>
              <w:right w:val="nil"/>
            </w:tcBorders>
            <w:shd w:val="clear" w:color="auto" w:fill="auto"/>
            <w:noWrap/>
            <w:vAlign w:val="bottom"/>
            <w:hideMark/>
          </w:tcPr>
          <w:p w14:paraId="4C842A6B" w14:textId="77777777" w:rsidR="006E5119" w:rsidRPr="00F31385" w:rsidRDefault="006E5119" w:rsidP="006E5119">
            <w:pPr>
              <w:jc w:val="both"/>
              <w:rPr>
                <w:rFonts w:eastAsia="Times New Roman"/>
              </w:rPr>
            </w:pPr>
            <w:r w:rsidRPr="00F31385">
              <w:rPr>
                <w:rFonts w:eastAsia="Times New Roman"/>
              </w:rPr>
              <w:t>2012</w:t>
            </w:r>
          </w:p>
        </w:tc>
        <w:tc>
          <w:tcPr>
            <w:tcW w:w="1316" w:type="dxa"/>
            <w:tcBorders>
              <w:top w:val="single" w:sz="4" w:space="0" w:color="auto"/>
              <w:left w:val="nil"/>
              <w:bottom w:val="single" w:sz="4" w:space="0" w:color="auto"/>
              <w:right w:val="nil"/>
            </w:tcBorders>
            <w:shd w:val="clear" w:color="auto" w:fill="auto"/>
            <w:noWrap/>
            <w:vAlign w:val="bottom"/>
            <w:hideMark/>
          </w:tcPr>
          <w:p w14:paraId="055C2371" w14:textId="77777777" w:rsidR="006E5119" w:rsidRPr="00F31385" w:rsidRDefault="006E5119" w:rsidP="006E5119">
            <w:pPr>
              <w:jc w:val="both"/>
              <w:rPr>
                <w:rFonts w:eastAsia="Times New Roman"/>
              </w:rPr>
            </w:pPr>
            <w:r w:rsidRPr="00F31385">
              <w:rPr>
                <w:rFonts w:eastAsia="Times New Roman"/>
              </w:rPr>
              <w:t>2011</w:t>
            </w:r>
          </w:p>
        </w:tc>
        <w:tc>
          <w:tcPr>
            <w:tcW w:w="1316" w:type="dxa"/>
            <w:tcBorders>
              <w:top w:val="single" w:sz="4" w:space="0" w:color="auto"/>
              <w:left w:val="nil"/>
              <w:bottom w:val="single" w:sz="4" w:space="0" w:color="auto"/>
              <w:right w:val="nil"/>
            </w:tcBorders>
            <w:shd w:val="clear" w:color="auto" w:fill="auto"/>
            <w:noWrap/>
            <w:vAlign w:val="bottom"/>
            <w:hideMark/>
          </w:tcPr>
          <w:p w14:paraId="3AC84DFD" w14:textId="77777777" w:rsidR="006E5119" w:rsidRPr="00F31385" w:rsidRDefault="006E5119" w:rsidP="006E5119">
            <w:pPr>
              <w:jc w:val="both"/>
              <w:rPr>
                <w:rFonts w:eastAsia="Times New Roman"/>
              </w:rPr>
            </w:pPr>
            <w:r w:rsidRPr="00F31385">
              <w:rPr>
                <w:rFonts w:eastAsia="Times New Roman"/>
              </w:rPr>
              <w:t>2010</w:t>
            </w:r>
          </w:p>
        </w:tc>
        <w:tc>
          <w:tcPr>
            <w:tcW w:w="1396" w:type="dxa"/>
            <w:tcBorders>
              <w:top w:val="single" w:sz="4" w:space="0" w:color="auto"/>
              <w:left w:val="nil"/>
              <w:bottom w:val="single" w:sz="4" w:space="0" w:color="auto"/>
              <w:right w:val="nil"/>
            </w:tcBorders>
            <w:shd w:val="clear" w:color="auto" w:fill="auto"/>
            <w:noWrap/>
            <w:vAlign w:val="bottom"/>
            <w:hideMark/>
          </w:tcPr>
          <w:p w14:paraId="3164B5A2" w14:textId="77777777" w:rsidR="006E5119" w:rsidRPr="00F31385" w:rsidRDefault="006E5119" w:rsidP="006E5119">
            <w:pPr>
              <w:jc w:val="both"/>
              <w:rPr>
                <w:rFonts w:eastAsia="Times New Roman"/>
              </w:rPr>
            </w:pPr>
            <w:r w:rsidRPr="00F31385">
              <w:rPr>
                <w:rFonts w:eastAsia="Times New Roman"/>
              </w:rPr>
              <w:t>2009</w:t>
            </w:r>
          </w:p>
        </w:tc>
        <w:tc>
          <w:tcPr>
            <w:tcW w:w="1318" w:type="dxa"/>
            <w:tcBorders>
              <w:top w:val="single" w:sz="4" w:space="0" w:color="auto"/>
              <w:left w:val="nil"/>
              <w:bottom w:val="single" w:sz="4" w:space="0" w:color="auto"/>
              <w:right w:val="nil"/>
            </w:tcBorders>
            <w:shd w:val="clear" w:color="auto" w:fill="auto"/>
            <w:noWrap/>
            <w:vAlign w:val="bottom"/>
            <w:hideMark/>
          </w:tcPr>
          <w:p w14:paraId="7F98CFB4" w14:textId="77777777" w:rsidR="006E5119" w:rsidRPr="00F31385" w:rsidRDefault="006E5119" w:rsidP="006E5119">
            <w:pPr>
              <w:jc w:val="both"/>
              <w:rPr>
                <w:rFonts w:eastAsia="Times New Roman"/>
              </w:rPr>
            </w:pPr>
            <w:r w:rsidRPr="00F31385">
              <w:rPr>
                <w:rFonts w:eastAsia="Times New Roman"/>
              </w:rPr>
              <w:t>2008</w:t>
            </w:r>
          </w:p>
        </w:tc>
      </w:tr>
      <w:tr w:rsidR="006E5119" w:rsidRPr="00F31385" w14:paraId="20D11F38" w14:textId="77777777" w:rsidTr="006E5119">
        <w:trPr>
          <w:trHeight w:val="240"/>
        </w:trPr>
        <w:tc>
          <w:tcPr>
            <w:tcW w:w="2228" w:type="dxa"/>
            <w:tcBorders>
              <w:top w:val="nil"/>
              <w:left w:val="nil"/>
              <w:bottom w:val="nil"/>
              <w:right w:val="nil"/>
            </w:tcBorders>
            <w:shd w:val="clear" w:color="auto" w:fill="auto"/>
            <w:noWrap/>
            <w:vAlign w:val="bottom"/>
            <w:hideMark/>
          </w:tcPr>
          <w:p w14:paraId="5989283C" w14:textId="77777777" w:rsidR="006E5119" w:rsidRPr="00F31385" w:rsidRDefault="006E5119" w:rsidP="006E5119">
            <w:pPr>
              <w:jc w:val="both"/>
              <w:rPr>
                <w:rFonts w:eastAsia="Times New Roman"/>
              </w:rPr>
            </w:pPr>
            <w:r w:rsidRPr="00F31385">
              <w:rPr>
                <w:rFonts w:eastAsia="Times New Roman"/>
              </w:rPr>
              <w:t>Total revenues</w:t>
            </w:r>
          </w:p>
        </w:tc>
        <w:tc>
          <w:tcPr>
            <w:tcW w:w="1318" w:type="dxa"/>
            <w:tcBorders>
              <w:top w:val="single" w:sz="4" w:space="0" w:color="auto"/>
              <w:left w:val="nil"/>
              <w:bottom w:val="nil"/>
              <w:right w:val="nil"/>
            </w:tcBorders>
            <w:shd w:val="clear" w:color="auto" w:fill="auto"/>
            <w:noWrap/>
            <w:vAlign w:val="bottom"/>
            <w:hideMark/>
          </w:tcPr>
          <w:p w14:paraId="7DD97B22" w14:textId="77777777" w:rsidR="006E5119" w:rsidRPr="00F31385" w:rsidRDefault="006E5119" w:rsidP="006E5119">
            <w:pPr>
              <w:jc w:val="both"/>
              <w:rPr>
                <w:rFonts w:eastAsia="Times New Roman"/>
              </w:rPr>
            </w:pPr>
            <w:r w:rsidRPr="00F31385">
              <w:rPr>
                <w:rFonts w:eastAsia="Times New Roman"/>
              </w:rPr>
              <w:t xml:space="preserve"> </w:t>
            </w:r>
          </w:p>
          <w:p w14:paraId="1B55B26D" w14:textId="77777777" w:rsidR="006E5119" w:rsidRPr="00F31385" w:rsidRDefault="006E5119" w:rsidP="006E5119">
            <w:pPr>
              <w:jc w:val="both"/>
              <w:rPr>
                <w:rFonts w:eastAsia="Times New Roman"/>
              </w:rPr>
            </w:pPr>
            <w:r w:rsidRPr="00F31385">
              <w:rPr>
                <w:rFonts w:eastAsia="Times New Roman"/>
              </w:rPr>
              <w:t xml:space="preserve">42,537,688 </w:t>
            </w:r>
          </w:p>
        </w:tc>
        <w:tc>
          <w:tcPr>
            <w:tcW w:w="1316" w:type="dxa"/>
            <w:tcBorders>
              <w:top w:val="single" w:sz="4" w:space="0" w:color="auto"/>
              <w:left w:val="nil"/>
              <w:bottom w:val="nil"/>
              <w:right w:val="nil"/>
            </w:tcBorders>
            <w:shd w:val="clear" w:color="auto" w:fill="auto"/>
            <w:noWrap/>
            <w:vAlign w:val="bottom"/>
            <w:hideMark/>
          </w:tcPr>
          <w:p w14:paraId="41AAC8CE" w14:textId="77777777" w:rsidR="006E5119" w:rsidRPr="00F31385" w:rsidRDefault="006E5119" w:rsidP="006E5119">
            <w:pPr>
              <w:jc w:val="both"/>
              <w:rPr>
                <w:rFonts w:eastAsia="Times New Roman"/>
              </w:rPr>
            </w:pPr>
            <w:r w:rsidRPr="00F31385">
              <w:rPr>
                <w:rFonts w:eastAsia="Times New Roman"/>
              </w:rPr>
              <w:t xml:space="preserve"> 43,124,599 </w:t>
            </w:r>
          </w:p>
        </w:tc>
        <w:tc>
          <w:tcPr>
            <w:tcW w:w="1316" w:type="dxa"/>
            <w:tcBorders>
              <w:top w:val="single" w:sz="4" w:space="0" w:color="auto"/>
              <w:left w:val="nil"/>
              <w:bottom w:val="nil"/>
              <w:right w:val="nil"/>
            </w:tcBorders>
            <w:shd w:val="clear" w:color="auto" w:fill="auto"/>
            <w:noWrap/>
            <w:vAlign w:val="bottom"/>
            <w:hideMark/>
          </w:tcPr>
          <w:p w14:paraId="4FE64C12" w14:textId="77777777" w:rsidR="006E5119" w:rsidRPr="00F31385" w:rsidRDefault="006E5119" w:rsidP="006E5119">
            <w:pPr>
              <w:jc w:val="both"/>
              <w:rPr>
                <w:rFonts w:eastAsia="Times New Roman"/>
              </w:rPr>
            </w:pPr>
            <w:r w:rsidRPr="00F31385">
              <w:rPr>
                <w:rFonts w:eastAsia="Times New Roman"/>
              </w:rPr>
              <w:t xml:space="preserve"> 45,875,650 </w:t>
            </w:r>
          </w:p>
        </w:tc>
        <w:tc>
          <w:tcPr>
            <w:tcW w:w="1396" w:type="dxa"/>
            <w:tcBorders>
              <w:top w:val="single" w:sz="4" w:space="0" w:color="auto"/>
              <w:left w:val="nil"/>
              <w:bottom w:val="nil"/>
              <w:right w:val="nil"/>
            </w:tcBorders>
            <w:shd w:val="clear" w:color="auto" w:fill="auto"/>
            <w:noWrap/>
            <w:vAlign w:val="bottom"/>
            <w:hideMark/>
          </w:tcPr>
          <w:p w14:paraId="51012215" w14:textId="77777777" w:rsidR="006E5119" w:rsidRPr="00F31385" w:rsidRDefault="006E5119" w:rsidP="006E5119">
            <w:pPr>
              <w:jc w:val="both"/>
              <w:rPr>
                <w:rFonts w:eastAsia="Times New Roman"/>
              </w:rPr>
            </w:pPr>
            <w:r w:rsidRPr="00F31385">
              <w:rPr>
                <w:rFonts w:eastAsia="Times New Roman"/>
              </w:rPr>
              <w:t xml:space="preserve"> 48,569,849 </w:t>
            </w:r>
          </w:p>
        </w:tc>
        <w:tc>
          <w:tcPr>
            <w:tcW w:w="1318" w:type="dxa"/>
            <w:tcBorders>
              <w:top w:val="single" w:sz="4" w:space="0" w:color="auto"/>
              <w:left w:val="nil"/>
              <w:bottom w:val="nil"/>
              <w:right w:val="nil"/>
            </w:tcBorders>
            <w:shd w:val="clear" w:color="auto" w:fill="auto"/>
            <w:noWrap/>
            <w:vAlign w:val="bottom"/>
            <w:hideMark/>
          </w:tcPr>
          <w:p w14:paraId="33856DC6" w14:textId="77777777" w:rsidR="006E5119" w:rsidRPr="00F31385" w:rsidRDefault="006E5119" w:rsidP="006E5119">
            <w:pPr>
              <w:jc w:val="both"/>
              <w:rPr>
                <w:rFonts w:eastAsia="Times New Roman"/>
              </w:rPr>
            </w:pPr>
            <w:r w:rsidRPr="00F31385">
              <w:rPr>
                <w:rFonts w:eastAsia="Times New Roman"/>
              </w:rPr>
              <w:t xml:space="preserve"> 32,685,296 </w:t>
            </w:r>
          </w:p>
        </w:tc>
      </w:tr>
      <w:tr w:rsidR="006E5119" w:rsidRPr="00F31385" w14:paraId="45748C2E" w14:textId="77777777" w:rsidTr="006E5119">
        <w:trPr>
          <w:trHeight w:val="240"/>
        </w:trPr>
        <w:tc>
          <w:tcPr>
            <w:tcW w:w="2228" w:type="dxa"/>
            <w:tcBorders>
              <w:top w:val="nil"/>
              <w:left w:val="nil"/>
              <w:bottom w:val="nil"/>
              <w:right w:val="nil"/>
            </w:tcBorders>
            <w:shd w:val="clear" w:color="auto" w:fill="auto"/>
            <w:noWrap/>
            <w:vAlign w:val="bottom"/>
            <w:hideMark/>
          </w:tcPr>
          <w:p w14:paraId="11A77C77" w14:textId="77777777" w:rsidR="006E5119" w:rsidRPr="00F31385" w:rsidRDefault="006E5119" w:rsidP="006E5119">
            <w:pPr>
              <w:jc w:val="both"/>
              <w:rPr>
                <w:rFonts w:eastAsia="Times New Roman"/>
              </w:rPr>
            </w:pPr>
            <w:r w:rsidRPr="00F31385">
              <w:rPr>
                <w:rFonts w:eastAsia="Times New Roman"/>
              </w:rPr>
              <w:t>Total own source rev</w:t>
            </w:r>
          </w:p>
        </w:tc>
        <w:tc>
          <w:tcPr>
            <w:tcW w:w="1318" w:type="dxa"/>
            <w:tcBorders>
              <w:top w:val="nil"/>
              <w:left w:val="nil"/>
              <w:bottom w:val="nil"/>
              <w:right w:val="nil"/>
            </w:tcBorders>
            <w:shd w:val="clear" w:color="auto" w:fill="auto"/>
            <w:noWrap/>
            <w:vAlign w:val="bottom"/>
            <w:hideMark/>
          </w:tcPr>
          <w:p w14:paraId="615EA1E4" w14:textId="77777777" w:rsidR="006E5119" w:rsidRPr="00F31385" w:rsidRDefault="006E5119" w:rsidP="006E5119">
            <w:pPr>
              <w:jc w:val="both"/>
              <w:rPr>
                <w:rFonts w:eastAsia="Times New Roman"/>
              </w:rPr>
            </w:pPr>
            <w:r w:rsidRPr="00F31385">
              <w:rPr>
                <w:rFonts w:eastAsia="Times New Roman"/>
              </w:rPr>
              <w:t xml:space="preserve"> 13,306,001 </w:t>
            </w:r>
          </w:p>
        </w:tc>
        <w:tc>
          <w:tcPr>
            <w:tcW w:w="1316" w:type="dxa"/>
            <w:tcBorders>
              <w:top w:val="nil"/>
              <w:left w:val="nil"/>
              <w:bottom w:val="nil"/>
              <w:right w:val="nil"/>
            </w:tcBorders>
            <w:shd w:val="clear" w:color="auto" w:fill="auto"/>
            <w:noWrap/>
            <w:vAlign w:val="bottom"/>
            <w:hideMark/>
          </w:tcPr>
          <w:p w14:paraId="06759EAB" w14:textId="77777777" w:rsidR="006E5119" w:rsidRPr="00F31385" w:rsidRDefault="006E5119" w:rsidP="006E5119">
            <w:pPr>
              <w:jc w:val="both"/>
              <w:rPr>
                <w:rFonts w:eastAsia="Times New Roman"/>
              </w:rPr>
            </w:pPr>
            <w:r w:rsidRPr="00F31385">
              <w:rPr>
                <w:rFonts w:eastAsia="Times New Roman"/>
              </w:rPr>
              <w:t xml:space="preserve"> 14,164,715 </w:t>
            </w:r>
          </w:p>
        </w:tc>
        <w:tc>
          <w:tcPr>
            <w:tcW w:w="1316" w:type="dxa"/>
            <w:tcBorders>
              <w:top w:val="nil"/>
              <w:left w:val="nil"/>
              <w:bottom w:val="nil"/>
              <w:right w:val="nil"/>
            </w:tcBorders>
            <w:shd w:val="clear" w:color="auto" w:fill="auto"/>
            <w:noWrap/>
            <w:vAlign w:val="bottom"/>
            <w:hideMark/>
          </w:tcPr>
          <w:p w14:paraId="6954BCBE" w14:textId="77777777" w:rsidR="006E5119" w:rsidRPr="00F31385" w:rsidRDefault="006E5119" w:rsidP="006E5119">
            <w:pPr>
              <w:jc w:val="both"/>
              <w:rPr>
                <w:rFonts w:eastAsia="Times New Roman"/>
              </w:rPr>
            </w:pPr>
            <w:r w:rsidRPr="00F31385">
              <w:rPr>
                <w:rFonts w:eastAsia="Times New Roman"/>
              </w:rPr>
              <w:t xml:space="preserve"> 15,660,560 </w:t>
            </w:r>
          </w:p>
        </w:tc>
        <w:tc>
          <w:tcPr>
            <w:tcW w:w="1396" w:type="dxa"/>
            <w:tcBorders>
              <w:top w:val="nil"/>
              <w:left w:val="nil"/>
              <w:bottom w:val="nil"/>
              <w:right w:val="nil"/>
            </w:tcBorders>
            <w:shd w:val="clear" w:color="auto" w:fill="auto"/>
            <w:noWrap/>
            <w:vAlign w:val="bottom"/>
            <w:hideMark/>
          </w:tcPr>
          <w:p w14:paraId="72D9AED2" w14:textId="77777777" w:rsidR="006E5119" w:rsidRPr="00F31385" w:rsidRDefault="006E5119" w:rsidP="006E5119">
            <w:pPr>
              <w:jc w:val="both"/>
              <w:rPr>
                <w:rFonts w:eastAsia="Times New Roman"/>
              </w:rPr>
            </w:pPr>
            <w:r w:rsidRPr="00F31385">
              <w:rPr>
                <w:rFonts w:eastAsia="Times New Roman"/>
              </w:rPr>
              <w:t xml:space="preserve"> 14,858,513 </w:t>
            </w:r>
          </w:p>
        </w:tc>
        <w:tc>
          <w:tcPr>
            <w:tcW w:w="1318" w:type="dxa"/>
            <w:tcBorders>
              <w:top w:val="nil"/>
              <w:left w:val="nil"/>
              <w:bottom w:val="nil"/>
              <w:right w:val="nil"/>
            </w:tcBorders>
            <w:shd w:val="clear" w:color="auto" w:fill="auto"/>
            <w:noWrap/>
            <w:vAlign w:val="bottom"/>
            <w:hideMark/>
          </w:tcPr>
          <w:p w14:paraId="24149A6A" w14:textId="77777777" w:rsidR="006E5119" w:rsidRPr="00F31385" w:rsidRDefault="006E5119" w:rsidP="006E5119">
            <w:pPr>
              <w:jc w:val="both"/>
              <w:rPr>
                <w:rFonts w:eastAsia="Times New Roman"/>
              </w:rPr>
            </w:pPr>
            <w:r w:rsidRPr="00F31385">
              <w:rPr>
                <w:rFonts w:eastAsia="Times New Roman"/>
              </w:rPr>
              <w:t xml:space="preserve"> 12,956,948 </w:t>
            </w:r>
          </w:p>
        </w:tc>
      </w:tr>
      <w:tr w:rsidR="006E5119" w:rsidRPr="00F31385" w14:paraId="47E3ECD9" w14:textId="77777777" w:rsidTr="006E5119">
        <w:trPr>
          <w:trHeight w:val="240"/>
        </w:trPr>
        <w:tc>
          <w:tcPr>
            <w:tcW w:w="2228" w:type="dxa"/>
            <w:tcBorders>
              <w:top w:val="nil"/>
              <w:left w:val="nil"/>
              <w:bottom w:val="nil"/>
              <w:right w:val="nil"/>
            </w:tcBorders>
            <w:shd w:val="clear" w:color="auto" w:fill="auto"/>
            <w:noWrap/>
            <w:vAlign w:val="bottom"/>
            <w:hideMark/>
          </w:tcPr>
          <w:p w14:paraId="233298FB" w14:textId="77777777" w:rsidR="006E5119" w:rsidRPr="00F31385" w:rsidRDefault="006E5119" w:rsidP="006E5119">
            <w:pPr>
              <w:jc w:val="both"/>
              <w:rPr>
                <w:rFonts w:eastAsia="Times New Roman"/>
                <w:sz w:val="18"/>
                <w:szCs w:val="18"/>
              </w:rPr>
            </w:pPr>
            <w:r w:rsidRPr="00F31385">
              <w:rPr>
                <w:rFonts w:eastAsia="Times New Roman"/>
                <w:sz w:val="18"/>
                <w:szCs w:val="18"/>
              </w:rPr>
              <w:t>Of which: Total tax revenue</w:t>
            </w:r>
          </w:p>
        </w:tc>
        <w:tc>
          <w:tcPr>
            <w:tcW w:w="1318" w:type="dxa"/>
            <w:tcBorders>
              <w:top w:val="nil"/>
              <w:left w:val="nil"/>
              <w:bottom w:val="nil"/>
              <w:right w:val="nil"/>
            </w:tcBorders>
            <w:shd w:val="clear" w:color="auto" w:fill="auto"/>
            <w:noWrap/>
            <w:vAlign w:val="bottom"/>
            <w:hideMark/>
          </w:tcPr>
          <w:p w14:paraId="6723879C" w14:textId="77777777" w:rsidR="006E5119" w:rsidRPr="00F31385" w:rsidRDefault="006E5119" w:rsidP="006E5119">
            <w:pPr>
              <w:jc w:val="both"/>
              <w:rPr>
                <w:rFonts w:eastAsia="Times New Roman"/>
              </w:rPr>
            </w:pPr>
            <w:r w:rsidRPr="00F31385">
              <w:rPr>
                <w:rFonts w:eastAsia="Times New Roman"/>
              </w:rPr>
              <w:t xml:space="preserve"> 10,640,572 </w:t>
            </w:r>
          </w:p>
        </w:tc>
        <w:tc>
          <w:tcPr>
            <w:tcW w:w="1316" w:type="dxa"/>
            <w:tcBorders>
              <w:top w:val="nil"/>
              <w:left w:val="nil"/>
              <w:bottom w:val="nil"/>
              <w:right w:val="nil"/>
            </w:tcBorders>
            <w:shd w:val="clear" w:color="auto" w:fill="auto"/>
            <w:noWrap/>
            <w:vAlign w:val="bottom"/>
            <w:hideMark/>
          </w:tcPr>
          <w:p w14:paraId="59164EE0" w14:textId="77777777" w:rsidR="006E5119" w:rsidRPr="00F31385" w:rsidRDefault="006E5119" w:rsidP="006E5119">
            <w:pPr>
              <w:jc w:val="both"/>
              <w:rPr>
                <w:rFonts w:eastAsia="Times New Roman"/>
              </w:rPr>
            </w:pPr>
            <w:r w:rsidRPr="00F31385">
              <w:rPr>
                <w:rFonts w:eastAsia="Times New Roman"/>
              </w:rPr>
              <w:t xml:space="preserve"> 11,791,232 </w:t>
            </w:r>
          </w:p>
        </w:tc>
        <w:tc>
          <w:tcPr>
            <w:tcW w:w="1316" w:type="dxa"/>
            <w:tcBorders>
              <w:top w:val="nil"/>
              <w:left w:val="nil"/>
              <w:bottom w:val="nil"/>
              <w:right w:val="nil"/>
            </w:tcBorders>
            <w:shd w:val="clear" w:color="auto" w:fill="auto"/>
            <w:noWrap/>
            <w:vAlign w:val="bottom"/>
            <w:hideMark/>
          </w:tcPr>
          <w:p w14:paraId="47DCD419" w14:textId="77777777" w:rsidR="006E5119" w:rsidRPr="00F31385" w:rsidRDefault="006E5119" w:rsidP="006E5119">
            <w:pPr>
              <w:jc w:val="both"/>
              <w:rPr>
                <w:rFonts w:eastAsia="Times New Roman"/>
              </w:rPr>
            </w:pPr>
            <w:r w:rsidRPr="00F31385">
              <w:rPr>
                <w:rFonts w:eastAsia="Times New Roman"/>
              </w:rPr>
              <w:t xml:space="preserve"> 11,895,762 </w:t>
            </w:r>
          </w:p>
        </w:tc>
        <w:tc>
          <w:tcPr>
            <w:tcW w:w="1396" w:type="dxa"/>
            <w:tcBorders>
              <w:top w:val="nil"/>
              <w:left w:val="nil"/>
              <w:bottom w:val="nil"/>
              <w:right w:val="nil"/>
            </w:tcBorders>
            <w:shd w:val="clear" w:color="auto" w:fill="auto"/>
            <w:noWrap/>
            <w:vAlign w:val="bottom"/>
            <w:hideMark/>
          </w:tcPr>
          <w:p w14:paraId="7DC18C0F" w14:textId="77777777" w:rsidR="006E5119" w:rsidRPr="00F31385" w:rsidRDefault="006E5119" w:rsidP="006E5119">
            <w:pPr>
              <w:jc w:val="both"/>
              <w:rPr>
                <w:rFonts w:eastAsia="Times New Roman"/>
              </w:rPr>
            </w:pPr>
            <w:r w:rsidRPr="00F31385">
              <w:rPr>
                <w:rFonts w:eastAsia="Times New Roman"/>
              </w:rPr>
              <w:t xml:space="preserve"> 11,582,986 </w:t>
            </w:r>
          </w:p>
        </w:tc>
        <w:tc>
          <w:tcPr>
            <w:tcW w:w="1318" w:type="dxa"/>
            <w:tcBorders>
              <w:top w:val="nil"/>
              <w:left w:val="nil"/>
              <w:bottom w:val="nil"/>
              <w:right w:val="nil"/>
            </w:tcBorders>
            <w:shd w:val="clear" w:color="auto" w:fill="auto"/>
            <w:noWrap/>
            <w:vAlign w:val="bottom"/>
            <w:hideMark/>
          </w:tcPr>
          <w:p w14:paraId="05271882" w14:textId="77777777" w:rsidR="006E5119" w:rsidRPr="00F31385" w:rsidRDefault="006E5119" w:rsidP="006E5119">
            <w:pPr>
              <w:jc w:val="both"/>
              <w:rPr>
                <w:rFonts w:eastAsia="Times New Roman"/>
              </w:rPr>
            </w:pPr>
            <w:r w:rsidRPr="00F31385">
              <w:rPr>
                <w:rFonts w:eastAsia="Times New Roman"/>
              </w:rPr>
              <w:t xml:space="preserve"> 10,266,469 </w:t>
            </w:r>
          </w:p>
        </w:tc>
      </w:tr>
      <w:tr w:rsidR="006E5119" w:rsidRPr="00F31385" w14:paraId="41B81450" w14:textId="77777777" w:rsidTr="006E5119">
        <w:trPr>
          <w:trHeight w:val="240"/>
        </w:trPr>
        <w:tc>
          <w:tcPr>
            <w:tcW w:w="2228" w:type="dxa"/>
            <w:tcBorders>
              <w:top w:val="nil"/>
              <w:left w:val="nil"/>
              <w:bottom w:val="nil"/>
              <w:right w:val="nil"/>
            </w:tcBorders>
            <w:shd w:val="clear" w:color="auto" w:fill="auto"/>
            <w:noWrap/>
            <w:vAlign w:val="bottom"/>
            <w:hideMark/>
          </w:tcPr>
          <w:p w14:paraId="0E020E76" w14:textId="77777777" w:rsidR="006E5119" w:rsidRPr="00F31385" w:rsidRDefault="006E5119" w:rsidP="006E5119">
            <w:pPr>
              <w:jc w:val="both"/>
              <w:rPr>
                <w:rFonts w:eastAsia="Times New Roman"/>
              </w:rPr>
            </w:pPr>
            <w:r w:rsidRPr="00F31385">
              <w:rPr>
                <w:rFonts w:eastAsia="Times New Roman"/>
              </w:rPr>
              <w:t>Unconditional transfers</w:t>
            </w:r>
          </w:p>
        </w:tc>
        <w:tc>
          <w:tcPr>
            <w:tcW w:w="1318" w:type="dxa"/>
            <w:tcBorders>
              <w:top w:val="nil"/>
              <w:left w:val="nil"/>
              <w:bottom w:val="nil"/>
              <w:right w:val="nil"/>
            </w:tcBorders>
            <w:shd w:val="clear" w:color="auto" w:fill="auto"/>
            <w:noWrap/>
            <w:vAlign w:val="bottom"/>
            <w:hideMark/>
          </w:tcPr>
          <w:p w14:paraId="7FF17F3C" w14:textId="77777777" w:rsidR="006E5119" w:rsidRPr="00F31385" w:rsidRDefault="006E5119" w:rsidP="006E5119">
            <w:pPr>
              <w:jc w:val="both"/>
              <w:rPr>
                <w:rFonts w:eastAsia="Times New Roman"/>
              </w:rPr>
            </w:pPr>
            <w:r w:rsidRPr="00F31385">
              <w:rPr>
                <w:rFonts w:eastAsia="Times New Roman"/>
              </w:rPr>
              <w:t xml:space="preserve"> 11,465,137 </w:t>
            </w:r>
          </w:p>
        </w:tc>
        <w:tc>
          <w:tcPr>
            <w:tcW w:w="1316" w:type="dxa"/>
            <w:tcBorders>
              <w:top w:val="nil"/>
              <w:left w:val="nil"/>
              <w:bottom w:val="nil"/>
              <w:right w:val="nil"/>
            </w:tcBorders>
            <w:shd w:val="clear" w:color="auto" w:fill="auto"/>
            <w:noWrap/>
            <w:vAlign w:val="bottom"/>
            <w:hideMark/>
          </w:tcPr>
          <w:p w14:paraId="6EAB0DBD" w14:textId="77777777" w:rsidR="006E5119" w:rsidRPr="00F31385" w:rsidRDefault="006E5119" w:rsidP="006E5119">
            <w:pPr>
              <w:jc w:val="both"/>
              <w:rPr>
                <w:rFonts w:eastAsia="Times New Roman"/>
              </w:rPr>
            </w:pPr>
            <w:r w:rsidRPr="00F31385">
              <w:rPr>
                <w:rFonts w:eastAsia="Times New Roman"/>
              </w:rPr>
              <w:t xml:space="preserve"> 11,113,202 </w:t>
            </w:r>
          </w:p>
        </w:tc>
        <w:tc>
          <w:tcPr>
            <w:tcW w:w="1316" w:type="dxa"/>
            <w:tcBorders>
              <w:top w:val="nil"/>
              <w:left w:val="nil"/>
              <w:bottom w:val="nil"/>
              <w:right w:val="nil"/>
            </w:tcBorders>
            <w:shd w:val="clear" w:color="auto" w:fill="auto"/>
            <w:noWrap/>
            <w:vAlign w:val="bottom"/>
            <w:hideMark/>
          </w:tcPr>
          <w:p w14:paraId="333B100F" w14:textId="77777777" w:rsidR="006E5119" w:rsidRPr="00F31385" w:rsidRDefault="006E5119" w:rsidP="006E5119">
            <w:pPr>
              <w:jc w:val="both"/>
              <w:rPr>
                <w:rFonts w:eastAsia="Times New Roman"/>
              </w:rPr>
            </w:pPr>
            <w:r w:rsidRPr="00F31385">
              <w:rPr>
                <w:rFonts w:eastAsia="Times New Roman"/>
              </w:rPr>
              <w:t xml:space="preserve"> 11,215,741 </w:t>
            </w:r>
          </w:p>
        </w:tc>
        <w:tc>
          <w:tcPr>
            <w:tcW w:w="1396" w:type="dxa"/>
            <w:tcBorders>
              <w:top w:val="nil"/>
              <w:left w:val="nil"/>
              <w:bottom w:val="nil"/>
              <w:right w:val="nil"/>
            </w:tcBorders>
            <w:shd w:val="clear" w:color="auto" w:fill="auto"/>
            <w:noWrap/>
            <w:vAlign w:val="bottom"/>
            <w:hideMark/>
          </w:tcPr>
          <w:p w14:paraId="7BE3E7C9" w14:textId="77777777" w:rsidR="006E5119" w:rsidRPr="00F31385" w:rsidRDefault="006E5119" w:rsidP="006E5119">
            <w:pPr>
              <w:jc w:val="both"/>
              <w:rPr>
                <w:rFonts w:eastAsia="Times New Roman"/>
              </w:rPr>
            </w:pPr>
            <w:r w:rsidRPr="00F31385">
              <w:rPr>
                <w:rFonts w:eastAsia="Times New Roman"/>
              </w:rPr>
              <w:t xml:space="preserve"> 12,850,177 </w:t>
            </w:r>
          </w:p>
        </w:tc>
        <w:tc>
          <w:tcPr>
            <w:tcW w:w="1318" w:type="dxa"/>
            <w:tcBorders>
              <w:top w:val="nil"/>
              <w:left w:val="nil"/>
              <w:bottom w:val="nil"/>
              <w:right w:val="nil"/>
            </w:tcBorders>
            <w:shd w:val="clear" w:color="auto" w:fill="auto"/>
            <w:noWrap/>
            <w:vAlign w:val="bottom"/>
            <w:hideMark/>
          </w:tcPr>
          <w:p w14:paraId="71401023" w14:textId="77777777" w:rsidR="006E5119" w:rsidRPr="00F31385" w:rsidRDefault="006E5119" w:rsidP="006E5119">
            <w:pPr>
              <w:jc w:val="both"/>
              <w:rPr>
                <w:rFonts w:eastAsia="Times New Roman"/>
              </w:rPr>
            </w:pPr>
            <w:r w:rsidRPr="00F31385">
              <w:rPr>
                <w:rFonts w:eastAsia="Times New Roman"/>
              </w:rPr>
              <w:t xml:space="preserve"> 12,301,501 </w:t>
            </w:r>
          </w:p>
        </w:tc>
      </w:tr>
      <w:tr w:rsidR="006E5119" w:rsidRPr="00F31385" w14:paraId="3AA14E4D" w14:textId="77777777" w:rsidTr="006E5119">
        <w:trPr>
          <w:trHeight w:val="240"/>
        </w:trPr>
        <w:tc>
          <w:tcPr>
            <w:tcW w:w="2228" w:type="dxa"/>
            <w:tcBorders>
              <w:top w:val="nil"/>
              <w:left w:val="nil"/>
              <w:bottom w:val="nil"/>
              <w:right w:val="nil"/>
            </w:tcBorders>
            <w:shd w:val="clear" w:color="auto" w:fill="auto"/>
            <w:noWrap/>
            <w:vAlign w:val="bottom"/>
            <w:hideMark/>
          </w:tcPr>
          <w:p w14:paraId="4DF015CE" w14:textId="77777777" w:rsidR="006E5119" w:rsidRPr="00F31385" w:rsidRDefault="006E5119" w:rsidP="006E5119">
            <w:pPr>
              <w:jc w:val="both"/>
              <w:rPr>
                <w:rFonts w:eastAsia="Times New Roman"/>
              </w:rPr>
            </w:pPr>
            <w:r w:rsidRPr="00F31385">
              <w:rPr>
                <w:rFonts w:eastAsia="Times New Roman"/>
              </w:rPr>
              <w:t>Conditional Transfers</w:t>
            </w:r>
          </w:p>
        </w:tc>
        <w:tc>
          <w:tcPr>
            <w:tcW w:w="1318" w:type="dxa"/>
            <w:tcBorders>
              <w:top w:val="nil"/>
              <w:left w:val="nil"/>
              <w:bottom w:val="nil"/>
              <w:right w:val="nil"/>
            </w:tcBorders>
            <w:shd w:val="clear" w:color="auto" w:fill="auto"/>
            <w:noWrap/>
            <w:vAlign w:val="bottom"/>
            <w:hideMark/>
          </w:tcPr>
          <w:p w14:paraId="0E816A63" w14:textId="77777777" w:rsidR="006E5119" w:rsidRPr="00F31385" w:rsidRDefault="006E5119" w:rsidP="006E5119">
            <w:pPr>
              <w:jc w:val="both"/>
              <w:rPr>
                <w:rFonts w:eastAsia="Times New Roman"/>
              </w:rPr>
            </w:pPr>
            <w:r w:rsidRPr="00F31385">
              <w:rPr>
                <w:rFonts w:eastAsia="Times New Roman"/>
              </w:rPr>
              <w:t xml:space="preserve"> 17,766,550 </w:t>
            </w:r>
          </w:p>
        </w:tc>
        <w:tc>
          <w:tcPr>
            <w:tcW w:w="1316" w:type="dxa"/>
            <w:tcBorders>
              <w:top w:val="nil"/>
              <w:left w:val="nil"/>
              <w:bottom w:val="nil"/>
              <w:right w:val="nil"/>
            </w:tcBorders>
            <w:shd w:val="clear" w:color="auto" w:fill="auto"/>
            <w:noWrap/>
            <w:vAlign w:val="bottom"/>
            <w:hideMark/>
          </w:tcPr>
          <w:p w14:paraId="15DB16AF" w14:textId="77777777" w:rsidR="006E5119" w:rsidRPr="00F31385" w:rsidRDefault="006E5119" w:rsidP="006E5119">
            <w:pPr>
              <w:jc w:val="both"/>
              <w:rPr>
                <w:rFonts w:eastAsia="Times New Roman"/>
              </w:rPr>
            </w:pPr>
            <w:r w:rsidRPr="00F31385">
              <w:rPr>
                <w:rFonts w:eastAsia="Times New Roman"/>
              </w:rPr>
              <w:t xml:space="preserve"> 17,761,587 </w:t>
            </w:r>
          </w:p>
        </w:tc>
        <w:tc>
          <w:tcPr>
            <w:tcW w:w="1316" w:type="dxa"/>
            <w:tcBorders>
              <w:top w:val="nil"/>
              <w:left w:val="nil"/>
              <w:bottom w:val="nil"/>
              <w:right w:val="nil"/>
            </w:tcBorders>
            <w:shd w:val="clear" w:color="auto" w:fill="auto"/>
            <w:noWrap/>
            <w:vAlign w:val="bottom"/>
            <w:hideMark/>
          </w:tcPr>
          <w:p w14:paraId="1101EC54" w14:textId="77777777" w:rsidR="006E5119" w:rsidRPr="00F31385" w:rsidRDefault="006E5119" w:rsidP="006E5119">
            <w:pPr>
              <w:jc w:val="both"/>
              <w:rPr>
                <w:rFonts w:eastAsia="Times New Roman"/>
              </w:rPr>
            </w:pPr>
            <w:r w:rsidRPr="00F31385">
              <w:rPr>
                <w:rFonts w:eastAsia="Times New Roman"/>
              </w:rPr>
              <w:t xml:space="preserve"> 18,999,348 </w:t>
            </w:r>
          </w:p>
        </w:tc>
        <w:tc>
          <w:tcPr>
            <w:tcW w:w="1396" w:type="dxa"/>
            <w:tcBorders>
              <w:top w:val="nil"/>
              <w:left w:val="nil"/>
              <w:bottom w:val="nil"/>
              <w:right w:val="nil"/>
            </w:tcBorders>
            <w:shd w:val="clear" w:color="auto" w:fill="auto"/>
            <w:noWrap/>
            <w:vAlign w:val="bottom"/>
            <w:hideMark/>
          </w:tcPr>
          <w:p w14:paraId="11D40133" w14:textId="77777777" w:rsidR="006E5119" w:rsidRPr="00F31385" w:rsidRDefault="006E5119" w:rsidP="006E5119">
            <w:pPr>
              <w:jc w:val="both"/>
              <w:rPr>
                <w:rFonts w:eastAsia="Times New Roman"/>
              </w:rPr>
            </w:pPr>
            <w:r w:rsidRPr="00F31385">
              <w:rPr>
                <w:rFonts w:eastAsia="Times New Roman"/>
              </w:rPr>
              <w:t xml:space="preserve"> 20,861,158 </w:t>
            </w:r>
          </w:p>
        </w:tc>
        <w:tc>
          <w:tcPr>
            <w:tcW w:w="1318" w:type="dxa"/>
            <w:tcBorders>
              <w:top w:val="nil"/>
              <w:left w:val="nil"/>
              <w:bottom w:val="nil"/>
              <w:right w:val="nil"/>
            </w:tcBorders>
            <w:shd w:val="clear" w:color="auto" w:fill="auto"/>
            <w:noWrap/>
            <w:vAlign w:val="bottom"/>
            <w:hideMark/>
          </w:tcPr>
          <w:p w14:paraId="0D3EBB3A" w14:textId="77777777" w:rsidR="006E5119" w:rsidRPr="00F31385" w:rsidRDefault="006E5119" w:rsidP="006E5119">
            <w:pPr>
              <w:jc w:val="both"/>
              <w:rPr>
                <w:rFonts w:eastAsia="Times New Roman"/>
              </w:rPr>
            </w:pPr>
            <w:r w:rsidRPr="00F31385">
              <w:rPr>
                <w:rFonts w:eastAsia="Times New Roman"/>
              </w:rPr>
              <w:t xml:space="preserve"> 7,426,847 </w:t>
            </w:r>
          </w:p>
        </w:tc>
      </w:tr>
      <w:tr w:rsidR="006E5119" w:rsidRPr="00F31385" w14:paraId="1DAAF347" w14:textId="77777777" w:rsidTr="006E5119">
        <w:trPr>
          <w:trHeight w:val="240"/>
        </w:trPr>
        <w:tc>
          <w:tcPr>
            <w:tcW w:w="2228" w:type="dxa"/>
            <w:tcBorders>
              <w:top w:val="nil"/>
              <w:left w:val="nil"/>
              <w:bottom w:val="nil"/>
              <w:right w:val="nil"/>
            </w:tcBorders>
            <w:shd w:val="clear" w:color="auto" w:fill="auto"/>
            <w:noWrap/>
            <w:vAlign w:val="bottom"/>
            <w:hideMark/>
          </w:tcPr>
          <w:p w14:paraId="5945BC95" w14:textId="77777777" w:rsidR="006E5119" w:rsidRPr="00F31385" w:rsidRDefault="006E5119" w:rsidP="006E5119">
            <w:pPr>
              <w:jc w:val="both"/>
              <w:rPr>
                <w:rFonts w:eastAsia="Times New Roman"/>
                <w:b/>
                <w:i/>
              </w:rPr>
            </w:pPr>
            <w:r w:rsidRPr="00F31385">
              <w:rPr>
                <w:rFonts w:eastAsia="Times New Roman"/>
                <w:b/>
                <w:i/>
              </w:rPr>
              <w:t>In % of total revenues</w:t>
            </w:r>
          </w:p>
        </w:tc>
        <w:tc>
          <w:tcPr>
            <w:tcW w:w="1318" w:type="dxa"/>
            <w:tcBorders>
              <w:top w:val="nil"/>
              <w:left w:val="nil"/>
              <w:bottom w:val="nil"/>
              <w:right w:val="nil"/>
            </w:tcBorders>
            <w:shd w:val="clear" w:color="auto" w:fill="auto"/>
            <w:noWrap/>
            <w:vAlign w:val="bottom"/>
            <w:hideMark/>
          </w:tcPr>
          <w:p w14:paraId="63608D73" w14:textId="77777777" w:rsidR="006E5119" w:rsidRPr="00F31385" w:rsidRDefault="006E5119" w:rsidP="006E5119">
            <w:pPr>
              <w:jc w:val="both"/>
              <w:rPr>
                <w:rFonts w:eastAsia="Times New Roman"/>
              </w:rPr>
            </w:pPr>
          </w:p>
        </w:tc>
        <w:tc>
          <w:tcPr>
            <w:tcW w:w="1316" w:type="dxa"/>
            <w:tcBorders>
              <w:top w:val="nil"/>
              <w:left w:val="nil"/>
              <w:bottom w:val="nil"/>
              <w:right w:val="nil"/>
            </w:tcBorders>
            <w:shd w:val="clear" w:color="auto" w:fill="auto"/>
            <w:noWrap/>
            <w:vAlign w:val="bottom"/>
            <w:hideMark/>
          </w:tcPr>
          <w:p w14:paraId="0A1F4F25" w14:textId="77777777" w:rsidR="006E5119" w:rsidRPr="00F31385" w:rsidRDefault="006E5119" w:rsidP="006E5119">
            <w:pPr>
              <w:jc w:val="both"/>
              <w:rPr>
                <w:rFonts w:eastAsia="Times New Roman"/>
              </w:rPr>
            </w:pPr>
          </w:p>
        </w:tc>
        <w:tc>
          <w:tcPr>
            <w:tcW w:w="1316" w:type="dxa"/>
            <w:tcBorders>
              <w:top w:val="nil"/>
              <w:left w:val="nil"/>
              <w:bottom w:val="nil"/>
              <w:right w:val="nil"/>
            </w:tcBorders>
            <w:shd w:val="clear" w:color="auto" w:fill="auto"/>
            <w:noWrap/>
            <w:vAlign w:val="bottom"/>
            <w:hideMark/>
          </w:tcPr>
          <w:p w14:paraId="6E2BF42A" w14:textId="77777777" w:rsidR="006E5119" w:rsidRPr="00F31385" w:rsidRDefault="006E5119" w:rsidP="006E5119">
            <w:pPr>
              <w:jc w:val="both"/>
              <w:rPr>
                <w:rFonts w:eastAsia="Times New Roman"/>
              </w:rPr>
            </w:pPr>
          </w:p>
        </w:tc>
        <w:tc>
          <w:tcPr>
            <w:tcW w:w="1396" w:type="dxa"/>
            <w:tcBorders>
              <w:top w:val="nil"/>
              <w:left w:val="nil"/>
              <w:bottom w:val="nil"/>
              <w:right w:val="nil"/>
            </w:tcBorders>
            <w:shd w:val="clear" w:color="auto" w:fill="auto"/>
            <w:noWrap/>
            <w:vAlign w:val="bottom"/>
            <w:hideMark/>
          </w:tcPr>
          <w:p w14:paraId="2742D22A" w14:textId="77777777" w:rsidR="006E5119" w:rsidRPr="00F31385" w:rsidRDefault="006E5119" w:rsidP="006E5119">
            <w:pPr>
              <w:jc w:val="both"/>
              <w:rPr>
                <w:rFonts w:eastAsia="Times New Roman"/>
              </w:rPr>
            </w:pPr>
          </w:p>
        </w:tc>
        <w:tc>
          <w:tcPr>
            <w:tcW w:w="1318" w:type="dxa"/>
            <w:tcBorders>
              <w:top w:val="nil"/>
              <w:left w:val="nil"/>
              <w:bottom w:val="nil"/>
              <w:right w:val="nil"/>
            </w:tcBorders>
            <w:shd w:val="clear" w:color="auto" w:fill="auto"/>
            <w:noWrap/>
            <w:vAlign w:val="bottom"/>
            <w:hideMark/>
          </w:tcPr>
          <w:p w14:paraId="4985661B" w14:textId="77777777" w:rsidR="006E5119" w:rsidRPr="00F31385" w:rsidRDefault="006E5119" w:rsidP="006E5119">
            <w:pPr>
              <w:jc w:val="both"/>
              <w:rPr>
                <w:rFonts w:eastAsia="Times New Roman"/>
              </w:rPr>
            </w:pPr>
          </w:p>
        </w:tc>
      </w:tr>
      <w:tr w:rsidR="006E5119" w:rsidRPr="00F31385" w14:paraId="7F4A7BB3" w14:textId="77777777" w:rsidTr="006E5119">
        <w:trPr>
          <w:trHeight w:val="240"/>
        </w:trPr>
        <w:tc>
          <w:tcPr>
            <w:tcW w:w="2228" w:type="dxa"/>
            <w:tcBorders>
              <w:top w:val="nil"/>
              <w:left w:val="nil"/>
              <w:bottom w:val="nil"/>
              <w:right w:val="nil"/>
            </w:tcBorders>
            <w:shd w:val="clear" w:color="auto" w:fill="auto"/>
            <w:noWrap/>
            <w:vAlign w:val="bottom"/>
            <w:hideMark/>
          </w:tcPr>
          <w:p w14:paraId="424399A0" w14:textId="77777777" w:rsidR="006E5119" w:rsidRPr="00F31385" w:rsidRDefault="006E5119" w:rsidP="006E5119">
            <w:pPr>
              <w:jc w:val="both"/>
              <w:rPr>
                <w:rFonts w:eastAsia="Times New Roman"/>
              </w:rPr>
            </w:pPr>
            <w:r w:rsidRPr="00F31385">
              <w:rPr>
                <w:rFonts w:eastAsia="Times New Roman"/>
              </w:rPr>
              <w:t>Own source revenues</w:t>
            </w:r>
          </w:p>
        </w:tc>
        <w:tc>
          <w:tcPr>
            <w:tcW w:w="1318" w:type="dxa"/>
            <w:tcBorders>
              <w:top w:val="nil"/>
              <w:left w:val="nil"/>
              <w:bottom w:val="nil"/>
              <w:right w:val="nil"/>
            </w:tcBorders>
            <w:shd w:val="clear" w:color="auto" w:fill="auto"/>
            <w:noWrap/>
            <w:vAlign w:val="bottom"/>
            <w:hideMark/>
          </w:tcPr>
          <w:p w14:paraId="366956C2" w14:textId="77777777" w:rsidR="006E5119" w:rsidRPr="00F31385" w:rsidRDefault="006E5119" w:rsidP="006E5119">
            <w:pPr>
              <w:jc w:val="both"/>
              <w:rPr>
                <w:sz w:val="20"/>
                <w:szCs w:val="20"/>
              </w:rPr>
            </w:pPr>
            <w:r w:rsidRPr="00F31385">
              <w:rPr>
                <w:sz w:val="20"/>
                <w:szCs w:val="20"/>
              </w:rPr>
              <w:t>31%</w:t>
            </w:r>
          </w:p>
        </w:tc>
        <w:tc>
          <w:tcPr>
            <w:tcW w:w="1316" w:type="dxa"/>
            <w:tcBorders>
              <w:top w:val="nil"/>
              <w:left w:val="nil"/>
              <w:bottom w:val="nil"/>
              <w:right w:val="nil"/>
            </w:tcBorders>
            <w:shd w:val="clear" w:color="auto" w:fill="auto"/>
            <w:noWrap/>
            <w:vAlign w:val="bottom"/>
            <w:hideMark/>
          </w:tcPr>
          <w:p w14:paraId="02321CD5" w14:textId="77777777" w:rsidR="006E5119" w:rsidRPr="00F31385" w:rsidRDefault="006E5119" w:rsidP="006E5119">
            <w:pPr>
              <w:jc w:val="both"/>
              <w:rPr>
                <w:rFonts w:eastAsia="Times New Roman"/>
              </w:rPr>
            </w:pPr>
            <w:r w:rsidRPr="00F31385">
              <w:rPr>
                <w:rFonts w:eastAsia="Times New Roman"/>
              </w:rPr>
              <w:t>33%</w:t>
            </w:r>
          </w:p>
        </w:tc>
        <w:tc>
          <w:tcPr>
            <w:tcW w:w="1316" w:type="dxa"/>
            <w:tcBorders>
              <w:top w:val="nil"/>
              <w:left w:val="nil"/>
              <w:bottom w:val="nil"/>
              <w:right w:val="nil"/>
            </w:tcBorders>
            <w:shd w:val="clear" w:color="auto" w:fill="auto"/>
            <w:noWrap/>
            <w:vAlign w:val="bottom"/>
            <w:hideMark/>
          </w:tcPr>
          <w:p w14:paraId="5788CE60" w14:textId="77777777" w:rsidR="006E5119" w:rsidRPr="00F31385" w:rsidRDefault="006E5119" w:rsidP="006E5119">
            <w:pPr>
              <w:jc w:val="both"/>
              <w:rPr>
                <w:rFonts w:eastAsia="Times New Roman"/>
              </w:rPr>
            </w:pPr>
            <w:r w:rsidRPr="00F31385">
              <w:rPr>
                <w:rFonts w:eastAsia="Times New Roman"/>
              </w:rPr>
              <w:t>34%</w:t>
            </w:r>
          </w:p>
        </w:tc>
        <w:tc>
          <w:tcPr>
            <w:tcW w:w="1396" w:type="dxa"/>
            <w:tcBorders>
              <w:top w:val="nil"/>
              <w:left w:val="nil"/>
              <w:bottom w:val="nil"/>
              <w:right w:val="nil"/>
            </w:tcBorders>
            <w:shd w:val="clear" w:color="auto" w:fill="auto"/>
            <w:noWrap/>
            <w:vAlign w:val="bottom"/>
            <w:hideMark/>
          </w:tcPr>
          <w:p w14:paraId="36621F28" w14:textId="77777777" w:rsidR="006E5119" w:rsidRPr="00F31385" w:rsidRDefault="006E5119" w:rsidP="006E5119">
            <w:pPr>
              <w:jc w:val="both"/>
              <w:rPr>
                <w:rFonts w:eastAsia="Times New Roman"/>
              </w:rPr>
            </w:pPr>
            <w:r w:rsidRPr="00F31385">
              <w:rPr>
                <w:rFonts w:eastAsia="Times New Roman"/>
              </w:rPr>
              <w:t>31%</w:t>
            </w:r>
          </w:p>
        </w:tc>
        <w:tc>
          <w:tcPr>
            <w:tcW w:w="1318" w:type="dxa"/>
            <w:tcBorders>
              <w:top w:val="nil"/>
              <w:left w:val="nil"/>
              <w:bottom w:val="nil"/>
              <w:right w:val="nil"/>
            </w:tcBorders>
            <w:shd w:val="clear" w:color="auto" w:fill="auto"/>
            <w:noWrap/>
            <w:vAlign w:val="bottom"/>
            <w:hideMark/>
          </w:tcPr>
          <w:p w14:paraId="6D5209AF" w14:textId="77777777" w:rsidR="006E5119" w:rsidRPr="00F31385" w:rsidRDefault="006E5119" w:rsidP="006E5119">
            <w:pPr>
              <w:jc w:val="both"/>
              <w:rPr>
                <w:rFonts w:eastAsia="Times New Roman"/>
              </w:rPr>
            </w:pPr>
            <w:r w:rsidRPr="00F31385">
              <w:rPr>
                <w:rFonts w:eastAsia="Times New Roman"/>
              </w:rPr>
              <w:t>40%</w:t>
            </w:r>
          </w:p>
        </w:tc>
      </w:tr>
      <w:tr w:rsidR="006E5119" w:rsidRPr="00F31385" w14:paraId="43B90E19" w14:textId="77777777" w:rsidTr="006E5119">
        <w:trPr>
          <w:trHeight w:val="240"/>
        </w:trPr>
        <w:tc>
          <w:tcPr>
            <w:tcW w:w="2228" w:type="dxa"/>
            <w:tcBorders>
              <w:top w:val="nil"/>
              <w:left w:val="nil"/>
              <w:bottom w:val="nil"/>
              <w:right w:val="nil"/>
            </w:tcBorders>
            <w:shd w:val="clear" w:color="auto" w:fill="auto"/>
            <w:noWrap/>
            <w:vAlign w:val="bottom"/>
            <w:hideMark/>
          </w:tcPr>
          <w:p w14:paraId="67788F6A" w14:textId="77777777" w:rsidR="006E5119" w:rsidRPr="00F31385" w:rsidRDefault="006E5119" w:rsidP="006E5119">
            <w:pPr>
              <w:jc w:val="both"/>
              <w:rPr>
                <w:rFonts w:eastAsia="Times New Roman"/>
                <w:sz w:val="18"/>
                <w:szCs w:val="18"/>
              </w:rPr>
            </w:pPr>
            <w:r w:rsidRPr="00F31385">
              <w:rPr>
                <w:rFonts w:eastAsia="Times New Roman"/>
                <w:sz w:val="18"/>
                <w:szCs w:val="18"/>
              </w:rPr>
              <w:t>Of which: Tax revenue</w:t>
            </w:r>
          </w:p>
        </w:tc>
        <w:tc>
          <w:tcPr>
            <w:tcW w:w="1318" w:type="dxa"/>
            <w:tcBorders>
              <w:top w:val="nil"/>
              <w:left w:val="nil"/>
              <w:bottom w:val="nil"/>
              <w:right w:val="nil"/>
            </w:tcBorders>
            <w:shd w:val="clear" w:color="auto" w:fill="auto"/>
            <w:noWrap/>
            <w:vAlign w:val="bottom"/>
            <w:hideMark/>
          </w:tcPr>
          <w:p w14:paraId="1722CC6C" w14:textId="77777777" w:rsidR="006E5119" w:rsidRPr="00F31385" w:rsidRDefault="006E5119" w:rsidP="006E5119">
            <w:pPr>
              <w:jc w:val="both"/>
              <w:rPr>
                <w:sz w:val="20"/>
                <w:szCs w:val="20"/>
              </w:rPr>
            </w:pPr>
            <w:r w:rsidRPr="00F31385">
              <w:rPr>
                <w:sz w:val="20"/>
                <w:szCs w:val="20"/>
              </w:rPr>
              <w:t>25%</w:t>
            </w:r>
          </w:p>
        </w:tc>
        <w:tc>
          <w:tcPr>
            <w:tcW w:w="1316" w:type="dxa"/>
            <w:tcBorders>
              <w:top w:val="nil"/>
              <w:left w:val="nil"/>
              <w:bottom w:val="nil"/>
              <w:right w:val="nil"/>
            </w:tcBorders>
            <w:shd w:val="clear" w:color="auto" w:fill="auto"/>
            <w:noWrap/>
            <w:vAlign w:val="bottom"/>
            <w:hideMark/>
          </w:tcPr>
          <w:p w14:paraId="2D0908D4" w14:textId="77777777" w:rsidR="006E5119" w:rsidRPr="00F31385" w:rsidRDefault="006E5119" w:rsidP="006E5119">
            <w:pPr>
              <w:jc w:val="both"/>
              <w:rPr>
                <w:rFonts w:eastAsia="Times New Roman"/>
              </w:rPr>
            </w:pPr>
            <w:r w:rsidRPr="00F31385">
              <w:rPr>
                <w:rFonts w:eastAsia="Times New Roman"/>
              </w:rPr>
              <w:t>27%</w:t>
            </w:r>
          </w:p>
        </w:tc>
        <w:tc>
          <w:tcPr>
            <w:tcW w:w="1316" w:type="dxa"/>
            <w:tcBorders>
              <w:top w:val="nil"/>
              <w:left w:val="nil"/>
              <w:bottom w:val="nil"/>
              <w:right w:val="nil"/>
            </w:tcBorders>
            <w:shd w:val="clear" w:color="auto" w:fill="auto"/>
            <w:noWrap/>
            <w:vAlign w:val="bottom"/>
            <w:hideMark/>
          </w:tcPr>
          <w:p w14:paraId="4EA46C54" w14:textId="77777777" w:rsidR="006E5119" w:rsidRPr="00F31385" w:rsidRDefault="006E5119" w:rsidP="006E5119">
            <w:pPr>
              <w:jc w:val="both"/>
              <w:rPr>
                <w:rFonts w:eastAsia="Times New Roman"/>
              </w:rPr>
            </w:pPr>
            <w:r w:rsidRPr="00F31385">
              <w:rPr>
                <w:rFonts w:eastAsia="Times New Roman"/>
              </w:rPr>
              <w:t>26%</w:t>
            </w:r>
          </w:p>
        </w:tc>
        <w:tc>
          <w:tcPr>
            <w:tcW w:w="1396" w:type="dxa"/>
            <w:tcBorders>
              <w:top w:val="nil"/>
              <w:left w:val="nil"/>
              <w:bottom w:val="nil"/>
              <w:right w:val="nil"/>
            </w:tcBorders>
            <w:shd w:val="clear" w:color="auto" w:fill="auto"/>
            <w:noWrap/>
            <w:vAlign w:val="bottom"/>
            <w:hideMark/>
          </w:tcPr>
          <w:p w14:paraId="14DCBF04" w14:textId="77777777" w:rsidR="006E5119" w:rsidRPr="00F31385" w:rsidRDefault="006E5119" w:rsidP="006E5119">
            <w:pPr>
              <w:jc w:val="both"/>
              <w:rPr>
                <w:rFonts w:eastAsia="Times New Roman"/>
              </w:rPr>
            </w:pPr>
            <w:r w:rsidRPr="00F31385">
              <w:rPr>
                <w:rFonts w:eastAsia="Times New Roman"/>
              </w:rPr>
              <w:t>24%</w:t>
            </w:r>
          </w:p>
        </w:tc>
        <w:tc>
          <w:tcPr>
            <w:tcW w:w="1318" w:type="dxa"/>
            <w:tcBorders>
              <w:top w:val="nil"/>
              <w:left w:val="nil"/>
              <w:bottom w:val="nil"/>
              <w:right w:val="nil"/>
            </w:tcBorders>
            <w:shd w:val="clear" w:color="auto" w:fill="auto"/>
            <w:noWrap/>
            <w:vAlign w:val="bottom"/>
            <w:hideMark/>
          </w:tcPr>
          <w:p w14:paraId="7398B087" w14:textId="77777777" w:rsidR="006E5119" w:rsidRPr="00F31385" w:rsidRDefault="006E5119" w:rsidP="006E5119">
            <w:pPr>
              <w:jc w:val="both"/>
              <w:rPr>
                <w:rFonts w:eastAsia="Times New Roman"/>
              </w:rPr>
            </w:pPr>
            <w:r w:rsidRPr="00F31385">
              <w:rPr>
                <w:rFonts w:eastAsia="Times New Roman"/>
              </w:rPr>
              <w:t>31%</w:t>
            </w:r>
          </w:p>
        </w:tc>
      </w:tr>
      <w:tr w:rsidR="006E5119" w:rsidRPr="00F31385" w14:paraId="2A50E7F2" w14:textId="77777777" w:rsidTr="006E5119">
        <w:trPr>
          <w:trHeight w:val="240"/>
        </w:trPr>
        <w:tc>
          <w:tcPr>
            <w:tcW w:w="2228" w:type="dxa"/>
            <w:tcBorders>
              <w:top w:val="nil"/>
              <w:left w:val="nil"/>
              <w:bottom w:val="nil"/>
              <w:right w:val="nil"/>
            </w:tcBorders>
            <w:shd w:val="clear" w:color="auto" w:fill="auto"/>
            <w:noWrap/>
            <w:vAlign w:val="bottom"/>
            <w:hideMark/>
          </w:tcPr>
          <w:p w14:paraId="2D5EB405" w14:textId="77777777" w:rsidR="006E5119" w:rsidRPr="00F31385" w:rsidRDefault="006E5119" w:rsidP="006E5119">
            <w:pPr>
              <w:jc w:val="both"/>
              <w:rPr>
                <w:rFonts w:eastAsia="Times New Roman"/>
              </w:rPr>
            </w:pPr>
            <w:r w:rsidRPr="00F31385">
              <w:rPr>
                <w:rFonts w:eastAsia="Times New Roman"/>
              </w:rPr>
              <w:t>Unconditional grant</w:t>
            </w:r>
          </w:p>
        </w:tc>
        <w:tc>
          <w:tcPr>
            <w:tcW w:w="1318" w:type="dxa"/>
            <w:tcBorders>
              <w:top w:val="nil"/>
              <w:left w:val="nil"/>
              <w:bottom w:val="nil"/>
              <w:right w:val="nil"/>
            </w:tcBorders>
            <w:shd w:val="clear" w:color="auto" w:fill="auto"/>
            <w:noWrap/>
            <w:vAlign w:val="bottom"/>
            <w:hideMark/>
          </w:tcPr>
          <w:p w14:paraId="252CDC9D" w14:textId="77777777" w:rsidR="006E5119" w:rsidRPr="00F31385" w:rsidRDefault="006E5119" w:rsidP="006E5119">
            <w:pPr>
              <w:jc w:val="both"/>
              <w:rPr>
                <w:sz w:val="20"/>
                <w:szCs w:val="20"/>
              </w:rPr>
            </w:pPr>
            <w:r w:rsidRPr="00F31385">
              <w:rPr>
                <w:sz w:val="20"/>
                <w:szCs w:val="20"/>
              </w:rPr>
              <w:t>27%</w:t>
            </w:r>
          </w:p>
        </w:tc>
        <w:tc>
          <w:tcPr>
            <w:tcW w:w="1316" w:type="dxa"/>
            <w:tcBorders>
              <w:top w:val="nil"/>
              <w:left w:val="nil"/>
              <w:bottom w:val="nil"/>
              <w:right w:val="nil"/>
            </w:tcBorders>
            <w:shd w:val="clear" w:color="auto" w:fill="auto"/>
            <w:noWrap/>
            <w:vAlign w:val="bottom"/>
            <w:hideMark/>
          </w:tcPr>
          <w:p w14:paraId="451840BC" w14:textId="77777777" w:rsidR="006E5119" w:rsidRPr="00F31385" w:rsidRDefault="006E5119" w:rsidP="006E5119">
            <w:pPr>
              <w:jc w:val="both"/>
              <w:rPr>
                <w:rFonts w:eastAsia="Times New Roman"/>
              </w:rPr>
            </w:pPr>
            <w:r w:rsidRPr="00F31385">
              <w:rPr>
                <w:rFonts w:eastAsia="Times New Roman"/>
              </w:rPr>
              <w:t>26%</w:t>
            </w:r>
          </w:p>
        </w:tc>
        <w:tc>
          <w:tcPr>
            <w:tcW w:w="1316" w:type="dxa"/>
            <w:tcBorders>
              <w:top w:val="nil"/>
              <w:left w:val="nil"/>
              <w:bottom w:val="nil"/>
              <w:right w:val="nil"/>
            </w:tcBorders>
            <w:shd w:val="clear" w:color="auto" w:fill="auto"/>
            <w:noWrap/>
            <w:vAlign w:val="bottom"/>
            <w:hideMark/>
          </w:tcPr>
          <w:p w14:paraId="4E7853FF" w14:textId="77777777" w:rsidR="006E5119" w:rsidRPr="00F31385" w:rsidRDefault="006E5119" w:rsidP="006E5119">
            <w:pPr>
              <w:jc w:val="both"/>
              <w:rPr>
                <w:rFonts w:eastAsia="Times New Roman"/>
              </w:rPr>
            </w:pPr>
            <w:r w:rsidRPr="00F31385">
              <w:rPr>
                <w:rFonts w:eastAsia="Times New Roman"/>
              </w:rPr>
              <w:t>24%</w:t>
            </w:r>
          </w:p>
        </w:tc>
        <w:tc>
          <w:tcPr>
            <w:tcW w:w="1396" w:type="dxa"/>
            <w:tcBorders>
              <w:top w:val="nil"/>
              <w:left w:val="nil"/>
              <w:bottom w:val="nil"/>
              <w:right w:val="nil"/>
            </w:tcBorders>
            <w:shd w:val="clear" w:color="auto" w:fill="auto"/>
            <w:noWrap/>
            <w:vAlign w:val="bottom"/>
            <w:hideMark/>
          </w:tcPr>
          <w:p w14:paraId="793B4675" w14:textId="77777777" w:rsidR="006E5119" w:rsidRPr="00F31385" w:rsidRDefault="006E5119" w:rsidP="006E5119">
            <w:pPr>
              <w:jc w:val="both"/>
              <w:rPr>
                <w:rFonts w:eastAsia="Times New Roman"/>
              </w:rPr>
            </w:pPr>
            <w:r w:rsidRPr="00F31385">
              <w:rPr>
                <w:rFonts w:eastAsia="Times New Roman"/>
              </w:rPr>
              <w:t>26%</w:t>
            </w:r>
          </w:p>
        </w:tc>
        <w:tc>
          <w:tcPr>
            <w:tcW w:w="1318" w:type="dxa"/>
            <w:tcBorders>
              <w:top w:val="nil"/>
              <w:left w:val="nil"/>
              <w:bottom w:val="nil"/>
              <w:right w:val="nil"/>
            </w:tcBorders>
            <w:shd w:val="clear" w:color="auto" w:fill="auto"/>
            <w:noWrap/>
            <w:vAlign w:val="bottom"/>
            <w:hideMark/>
          </w:tcPr>
          <w:p w14:paraId="720AFB20" w14:textId="77777777" w:rsidR="006E5119" w:rsidRPr="00F31385" w:rsidRDefault="006E5119" w:rsidP="006E5119">
            <w:pPr>
              <w:jc w:val="both"/>
              <w:rPr>
                <w:rFonts w:eastAsia="Times New Roman"/>
              </w:rPr>
            </w:pPr>
            <w:r w:rsidRPr="00F31385">
              <w:rPr>
                <w:rFonts w:eastAsia="Times New Roman"/>
              </w:rPr>
              <w:t>38%</w:t>
            </w:r>
          </w:p>
        </w:tc>
      </w:tr>
      <w:tr w:rsidR="006E5119" w:rsidRPr="00F31385" w14:paraId="52E46311" w14:textId="77777777" w:rsidTr="006E5119">
        <w:trPr>
          <w:trHeight w:val="240"/>
        </w:trPr>
        <w:tc>
          <w:tcPr>
            <w:tcW w:w="2228" w:type="dxa"/>
            <w:tcBorders>
              <w:top w:val="nil"/>
              <w:left w:val="nil"/>
              <w:bottom w:val="nil"/>
              <w:right w:val="nil"/>
            </w:tcBorders>
            <w:shd w:val="clear" w:color="auto" w:fill="auto"/>
            <w:noWrap/>
            <w:vAlign w:val="bottom"/>
            <w:hideMark/>
          </w:tcPr>
          <w:p w14:paraId="7CDF0959" w14:textId="77777777" w:rsidR="006E5119" w:rsidRPr="00F31385" w:rsidRDefault="006E5119" w:rsidP="006E5119">
            <w:pPr>
              <w:jc w:val="both"/>
              <w:rPr>
                <w:rFonts w:eastAsia="Times New Roman"/>
              </w:rPr>
            </w:pPr>
            <w:r w:rsidRPr="00F31385">
              <w:rPr>
                <w:rFonts w:eastAsia="Times New Roman"/>
              </w:rPr>
              <w:t>Conditional grant</w:t>
            </w:r>
          </w:p>
        </w:tc>
        <w:tc>
          <w:tcPr>
            <w:tcW w:w="1318" w:type="dxa"/>
            <w:tcBorders>
              <w:top w:val="nil"/>
              <w:left w:val="nil"/>
              <w:bottom w:val="nil"/>
              <w:right w:val="nil"/>
            </w:tcBorders>
            <w:shd w:val="clear" w:color="auto" w:fill="auto"/>
            <w:noWrap/>
            <w:vAlign w:val="bottom"/>
            <w:hideMark/>
          </w:tcPr>
          <w:p w14:paraId="1376A4C1" w14:textId="77777777" w:rsidR="006E5119" w:rsidRPr="00F31385" w:rsidRDefault="006E5119" w:rsidP="006E5119">
            <w:pPr>
              <w:jc w:val="both"/>
              <w:rPr>
                <w:sz w:val="20"/>
                <w:szCs w:val="20"/>
              </w:rPr>
            </w:pPr>
            <w:r w:rsidRPr="00F31385">
              <w:rPr>
                <w:sz w:val="20"/>
                <w:szCs w:val="20"/>
              </w:rPr>
              <w:t>42%</w:t>
            </w:r>
          </w:p>
        </w:tc>
        <w:tc>
          <w:tcPr>
            <w:tcW w:w="1316" w:type="dxa"/>
            <w:tcBorders>
              <w:top w:val="nil"/>
              <w:left w:val="nil"/>
              <w:bottom w:val="nil"/>
              <w:right w:val="nil"/>
            </w:tcBorders>
            <w:shd w:val="clear" w:color="auto" w:fill="auto"/>
            <w:noWrap/>
            <w:vAlign w:val="bottom"/>
            <w:hideMark/>
          </w:tcPr>
          <w:p w14:paraId="499B38AF" w14:textId="77777777" w:rsidR="006E5119" w:rsidRPr="00F31385" w:rsidRDefault="006E5119" w:rsidP="006E5119">
            <w:pPr>
              <w:jc w:val="both"/>
              <w:rPr>
                <w:rFonts w:eastAsia="Times New Roman"/>
                <w:highlight w:val="yellow"/>
              </w:rPr>
            </w:pPr>
            <w:r w:rsidRPr="00F31385">
              <w:rPr>
                <w:rFonts w:eastAsia="Times New Roman"/>
              </w:rPr>
              <w:t>41%</w:t>
            </w:r>
          </w:p>
        </w:tc>
        <w:tc>
          <w:tcPr>
            <w:tcW w:w="1316" w:type="dxa"/>
            <w:tcBorders>
              <w:top w:val="nil"/>
              <w:left w:val="nil"/>
              <w:bottom w:val="nil"/>
              <w:right w:val="nil"/>
            </w:tcBorders>
            <w:shd w:val="clear" w:color="auto" w:fill="auto"/>
            <w:noWrap/>
            <w:vAlign w:val="bottom"/>
            <w:hideMark/>
          </w:tcPr>
          <w:p w14:paraId="62DA70BB" w14:textId="77777777" w:rsidR="006E5119" w:rsidRPr="00F31385" w:rsidRDefault="006E5119" w:rsidP="006E5119">
            <w:pPr>
              <w:jc w:val="both"/>
              <w:rPr>
                <w:rFonts w:eastAsia="Times New Roman"/>
              </w:rPr>
            </w:pPr>
            <w:r w:rsidRPr="00F31385">
              <w:rPr>
                <w:rFonts w:eastAsia="Times New Roman"/>
              </w:rPr>
              <w:t>41%</w:t>
            </w:r>
          </w:p>
        </w:tc>
        <w:tc>
          <w:tcPr>
            <w:tcW w:w="1396" w:type="dxa"/>
            <w:tcBorders>
              <w:top w:val="nil"/>
              <w:left w:val="nil"/>
              <w:bottom w:val="nil"/>
              <w:right w:val="nil"/>
            </w:tcBorders>
            <w:shd w:val="clear" w:color="auto" w:fill="auto"/>
            <w:noWrap/>
            <w:vAlign w:val="bottom"/>
            <w:hideMark/>
          </w:tcPr>
          <w:p w14:paraId="7123A9FF" w14:textId="77777777" w:rsidR="006E5119" w:rsidRPr="00F31385" w:rsidRDefault="006E5119" w:rsidP="006E5119">
            <w:pPr>
              <w:jc w:val="both"/>
              <w:rPr>
                <w:rFonts w:eastAsia="Times New Roman"/>
              </w:rPr>
            </w:pPr>
            <w:r w:rsidRPr="00F31385">
              <w:rPr>
                <w:rFonts w:eastAsia="Times New Roman"/>
              </w:rPr>
              <w:t>43%</w:t>
            </w:r>
          </w:p>
        </w:tc>
        <w:tc>
          <w:tcPr>
            <w:tcW w:w="1318" w:type="dxa"/>
            <w:tcBorders>
              <w:top w:val="nil"/>
              <w:left w:val="nil"/>
              <w:bottom w:val="nil"/>
              <w:right w:val="nil"/>
            </w:tcBorders>
            <w:shd w:val="clear" w:color="auto" w:fill="auto"/>
            <w:noWrap/>
            <w:vAlign w:val="bottom"/>
            <w:hideMark/>
          </w:tcPr>
          <w:p w14:paraId="003D8357" w14:textId="77777777" w:rsidR="006E5119" w:rsidRPr="00F31385" w:rsidRDefault="006E5119" w:rsidP="006E5119">
            <w:pPr>
              <w:jc w:val="both"/>
              <w:rPr>
                <w:rFonts w:eastAsia="Times New Roman"/>
              </w:rPr>
            </w:pPr>
            <w:r w:rsidRPr="00F31385">
              <w:rPr>
                <w:rFonts w:eastAsia="Times New Roman"/>
              </w:rPr>
              <w:t>23%</w:t>
            </w:r>
          </w:p>
        </w:tc>
      </w:tr>
    </w:tbl>
    <w:p w14:paraId="1EB96170" w14:textId="77777777" w:rsidR="006E5119" w:rsidRPr="00F31385" w:rsidRDefault="006E5119" w:rsidP="006E5119">
      <w:pPr>
        <w:spacing w:before="120"/>
        <w:jc w:val="both"/>
      </w:pPr>
      <w:r w:rsidRPr="00F31385">
        <w:t xml:space="preserve">Source: Ministry of Finance </w:t>
      </w:r>
    </w:p>
    <w:p w14:paraId="48DBDAE1" w14:textId="77777777" w:rsidR="006E5119" w:rsidRPr="00F31385" w:rsidRDefault="006E5119" w:rsidP="006E5119">
      <w:pPr>
        <w:keepNext/>
        <w:spacing w:before="120"/>
        <w:jc w:val="both"/>
      </w:pPr>
    </w:p>
    <w:p w14:paraId="3568D7BC" w14:textId="77777777" w:rsidR="006E5119" w:rsidRPr="00F31385" w:rsidRDefault="00314B3D" w:rsidP="006E5119">
      <w:pPr>
        <w:pStyle w:val="Caption"/>
        <w:pageBreakBefore/>
        <w:jc w:val="both"/>
        <w:rPr>
          <w:rFonts w:asciiTheme="minorHAnsi" w:hAnsiTheme="minorHAnsi"/>
        </w:rPr>
      </w:pPr>
      <w:proofErr w:type="gramStart"/>
      <w:r>
        <w:rPr>
          <w:rFonts w:asciiTheme="minorHAnsi" w:hAnsiTheme="minorHAnsi"/>
        </w:rPr>
        <w:lastRenderedPageBreak/>
        <w:t>Table</w:t>
      </w:r>
      <w:r w:rsidR="006E5119" w:rsidRPr="00F31385">
        <w:rPr>
          <w:rFonts w:asciiTheme="minorHAnsi" w:hAnsiTheme="minorHAnsi"/>
        </w:rPr>
        <w:t xml:space="preserv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noProof/>
        </w:rPr>
        <w:t>3</w:t>
      </w:r>
      <w:r>
        <w:rPr>
          <w:rFonts w:asciiTheme="minorHAnsi" w:hAnsiTheme="minorHAnsi"/>
        </w:rPr>
        <w:fldChar w:fldCharType="end"/>
      </w:r>
      <w:r w:rsidR="006E5119" w:rsidRPr="00F31385">
        <w:rPr>
          <w:rFonts w:asciiTheme="minorHAnsi" w:hAnsiTheme="minorHAnsi"/>
        </w:rPr>
        <w:t>.</w:t>
      </w:r>
      <w:proofErr w:type="gramEnd"/>
      <w:r w:rsidR="006E5119" w:rsidRPr="00F31385">
        <w:rPr>
          <w:rFonts w:asciiTheme="minorHAnsi" w:hAnsiTheme="minorHAnsi"/>
        </w:rPr>
        <w:t xml:space="preserve"> Performance of local government revenue 2008 – 2012 by type</w:t>
      </w:r>
      <w:r w:rsidR="00F61312">
        <w:rPr>
          <w:rFonts w:asciiTheme="minorHAnsi" w:hAnsiTheme="minorHAnsi"/>
        </w:rPr>
        <w:t xml:space="preserve"> (all </w:t>
      </w:r>
      <w:proofErr w:type="spellStart"/>
      <w:r w:rsidR="00F61312">
        <w:rPr>
          <w:rFonts w:asciiTheme="minorHAnsi" w:hAnsiTheme="minorHAnsi"/>
        </w:rPr>
        <w:t>LGs</w:t>
      </w:r>
      <w:proofErr w:type="spellEnd"/>
      <w:r w:rsidR="00F61312">
        <w:rPr>
          <w:rFonts w:asciiTheme="minorHAnsi" w:hAnsiTheme="minorHAnsi"/>
        </w:rPr>
        <w:t>)</w:t>
      </w:r>
    </w:p>
    <w:p w14:paraId="122913A7" w14:textId="77777777" w:rsidR="006E5119" w:rsidRDefault="006E5119" w:rsidP="006E5119">
      <w:pPr>
        <w:spacing w:before="120"/>
        <w:jc w:val="both"/>
      </w:pPr>
      <w:r w:rsidRPr="00F31385">
        <w:rPr>
          <w:noProof/>
        </w:rPr>
        <w:drawing>
          <wp:inline distT="0" distB="0" distL="0" distR="0" wp14:anchorId="0A895884" wp14:editId="5215638B">
            <wp:extent cx="5918200" cy="39116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E3A4AA" w14:textId="77777777" w:rsidR="006E5119" w:rsidRPr="00F31385" w:rsidRDefault="006E5119" w:rsidP="006E5119">
      <w:pPr>
        <w:spacing w:before="120"/>
        <w:jc w:val="both"/>
      </w:pPr>
      <w:r>
        <w:t>Data clearly indicat</w:t>
      </w:r>
      <w:r w:rsidRPr="00F61312">
        <w:t>e</w:t>
      </w:r>
      <w:r w:rsidRPr="00F61312">
        <w:rPr>
          <w:strike/>
        </w:rPr>
        <w:t>s</w:t>
      </w:r>
      <w:r w:rsidRPr="00B0202B">
        <w:t xml:space="preserve"> </w:t>
      </w:r>
      <w:r w:rsidRPr="00F31385">
        <w:t xml:space="preserve">in 2012 </w:t>
      </w:r>
      <w:r>
        <w:t xml:space="preserve">a downward trend in local government revenue performance. In particular, the relative share of discretionary funding (meaning locally generated revenues and unconditional grant) in local government budgets has slightly decreased in 2012 as compared to the previous years. This does not necessarily indicate a worsening in the level of autonomy and discretion that local government may exercise over their expenditures. The steep increase in the size of conditional (earmarked) grants – especially in the social protection sector as of 2009, and the fact that these have remained at steady levels since account for the change in composition of local government revenues throughout the period 2008 – 2012. </w:t>
      </w:r>
    </w:p>
    <w:p w14:paraId="5430F409" w14:textId="77777777" w:rsidR="006E5119" w:rsidRDefault="006E5119" w:rsidP="006E5119">
      <w:pPr>
        <w:pStyle w:val="Heading2"/>
        <w:jc w:val="both"/>
        <w:rPr>
          <w:rFonts w:asciiTheme="minorHAnsi" w:hAnsiTheme="minorHAnsi"/>
        </w:rPr>
      </w:pPr>
    </w:p>
    <w:p w14:paraId="750ED4C8" w14:textId="77777777" w:rsidR="006E5119" w:rsidRPr="00F31385" w:rsidRDefault="006E5119" w:rsidP="006E5119">
      <w:pPr>
        <w:pStyle w:val="Heading2"/>
        <w:jc w:val="both"/>
        <w:rPr>
          <w:rFonts w:asciiTheme="minorHAnsi" w:hAnsiTheme="minorHAnsi"/>
        </w:rPr>
      </w:pPr>
      <w:bookmarkStart w:id="21" w:name="_Toc253791345"/>
      <w:r>
        <w:rPr>
          <w:rFonts w:asciiTheme="minorHAnsi" w:hAnsiTheme="minorHAnsi"/>
        </w:rPr>
        <w:t>3</w:t>
      </w:r>
      <w:r w:rsidRPr="00F31385">
        <w:rPr>
          <w:rFonts w:asciiTheme="minorHAnsi" w:hAnsiTheme="minorHAnsi"/>
        </w:rPr>
        <w:t>.3 Disparities in local per capita revenues</w:t>
      </w:r>
      <w:bookmarkEnd w:id="21"/>
      <w:r w:rsidRPr="00F31385">
        <w:rPr>
          <w:rFonts w:asciiTheme="minorHAnsi" w:hAnsiTheme="minorHAnsi"/>
        </w:rPr>
        <w:t xml:space="preserve"> </w:t>
      </w:r>
    </w:p>
    <w:p w14:paraId="550602DA" w14:textId="77777777" w:rsidR="006E5119" w:rsidRPr="00F31385" w:rsidRDefault="006E5119" w:rsidP="006E5119">
      <w:pPr>
        <w:jc w:val="both"/>
      </w:pPr>
    </w:p>
    <w:p w14:paraId="62A84B52" w14:textId="77777777" w:rsidR="006E5119" w:rsidRPr="00F31385" w:rsidRDefault="006E5119" w:rsidP="006E5119">
      <w:pPr>
        <w:spacing w:before="120"/>
        <w:jc w:val="both"/>
      </w:pPr>
      <w:r w:rsidRPr="00F31385">
        <w:t>There are large disparities in fiscal revenue collections between different local governments. The capital and the seven largest cities</w:t>
      </w:r>
      <w:r w:rsidRPr="00F31385">
        <w:rPr>
          <w:rStyle w:val="FootnoteReference"/>
        </w:rPr>
        <w:footnoteReference w:id="6"/>
      </w:r>
      <w:r w:rsidRPr="00F31385">
        <w:t xml:space="preserve"> make up for the overwhelming majority of own source revenues, with a relative weight of 73% in 2012. The relative weight of the largest cities has increased from about 53% in 2006, indicating that bigger local government are thriving more easily in the current system, despite the difficulties of recent years. </w:t>
      </w:r>
    </w:p>
    <w:p w14:paraId="6D5E78BB" w14:textId="77777777" w:rsidR="006E5119" w:rsidRPr="00F31385" w:rsidRDefault="006E5119" w:rsidP="006E5119">
      <w:pPr>
        <w:spacing w:before="120"/>
        <w:jc w:val="both"/>
      </w:pPr>
      <w:r w:rsidRPr="00F31385">
        <w:lastRenderedPageBreak/>
        <w:t>Per capita distribution of local tax revenues, a more accurate indicator to evaluate revenue collection disparities, also shows high variations in collections. The table below shows variations for 2012 data on per capita revenue collections per selected categories of revenues.</w:t>
      </w:r>
    </w:p>
    <w:p w14:paraId="5C4A8602" w14:textId="77777777" w:rsidR="006E5119" w:rsidRPr="00F31385" w:rsidRDefault="00314B3D" w:rsidP="006E5119">
      <w:pPr>
        <w:pStyle w:val="Caption"/>
        <w:keepNext/>
        <w:jc w:val="both"/>
        <w:rPr>
          <w:rFonts w:asciiTheme="minorHAnsi" w:hAnsiTheme="minorHAnsi"/>
          <w:sz w:val="22"/>
          <w:szCs w:val="22"/>
        </w:rPr>
      </w:pPr>
      <w:proofErr w:type="gramStart"/>
      <w:r>
        <w:rPr>
          <w:rFonts w:asciiTheme="minorHAnsi" w:hAnsiTheme="minorHAnsi"/>
          <w:sz w:val="22"/>
          <w:szCs w:val="22"/>
        </w:rPr>
        <w:t>Table</w:t>
      </w:r>
      <w:r w:rsidR="006E5119" w:rsidRPr="00F31385">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SEQ Table \* ARABIC </w:instrText>
      </w:r>
      <w:r>
        <w:rPr>
          <w:rFonts w:asciiTheme="minorHAnsi" w:hAnsiTheme="minorHAnsi"/>
          <w:sz w:val="22"/>
          <w:szCs w:val="22"/>
        </w:rPr>
        <w:fldChar w:fldCharType="separate"/>
      </w:r>
      <w:r>
        <w:rPr>
          <w:rFonts w:asciiTheme="minorHAnsi" w:hAnsiTheme="minorHAnsi"/>
          <w:noProof/>
          <w:sz w:val="22"/>
          <w:szCs w:val="22"/>
        </w:rPr>
        <w:t>4</w:t>
      </w:r>
      <w:r>
        <w:rPr>
          <w:rFonts w:asciiTheme="minorHAnsi" w:hAnsiTheme="minorHAnsi"/>
          <w:sz w:val="22"/>
          <w:szCs w:val="22"/>
        </w:rPr>
        <w:fldChar w:fldCharType="end"/>
      </w:r>
      <w:r w:rsidR="006E5119" w:rsidRPr="00F31385">
        <w:rPr>
          <w:rFonts w:asciiTheme="minorHAnsi" w:hAnsiTheme="minorHAnsi"/>
          <w:sz w:val="22"/>
          <w:szCs w:val="22"/>
        </w:rPr>
        <w:t>.</w:t>
      </w:r>
      <w:proofErr w:type="gramEnd"/>
      <w:r w:rsidR="006E5119" w:rsidRPr="00F31385">
        <w:rPr>
          <w:rFonts w:asciiTheme="minorHAnsi" w:hAnsiTheme="minorHAnsi"/>
          <w:sz w:val="22"/>
          <w:szCs w:val="22"/>
        </w:rPr>
        <w:t xml:space="preserve"> </w:t>
      </w:r>
      <w:r w:rsidR="006E5119" w:rsidRPr="00F61312">
        <w:rPr>
          <w:rFonts w:asciiTheme="minorHAnsi" w:hAnsiTheme="minorHAnsi"/>
          <w:sz w:val="22"/>
          <w:szCs w:val="22"/>
        </w:rPr>
        <w:t>Variations in local per capita revenues</w:t>
      </w:r>
      <w:r w:rsidR="00F61312">
        <w:rPr>
          <w:rFonts w:asciiTheme="minorHAnsi" w:hAnsiTheme="minorHAnsi"/>
          <w:sz w:val="22"/>
          <w:szCs w:val="22"/>
        </w:rPr>
        <w:t xml:space="preserve"> in selected sample</w:t>
      </w:r>
    </w:p>
    <w:tbl>
      <w:tblPr>
        <w:tblW w:w="9468" w:type="dxa"/>
        <w:tblInd w:w="108" w:type="dxa"/>
        <w:tblLook w:val="04A0" w:firstRow="1" w:lastRow="0" w:firstColumn="1" w:lastColumn="0" w:noHBand="0" w:noVBand="1"/>
      </w:tblPr>
      <w:tblGrid>
        <w:gridCol w:w="1331"/>
        <w:gridCol w:w="1401"/>
        <w:gridCol w:w="1980"/>
        <w:gridCol w:w="1329"/>
        <w:gridCol w:w="1969"/>
        <w:gridCol w:w="1458"/>
      </w:tblGrid>
      <w:tr w:rsidR="006E5119" w:rsidRPr="00F31385" w14:paraId="30B93232" w14:textId="77777777" w:rsidTr="006E5119">
        <w:trPr>
          <w:trHeight w:val="240"/>
        </w:trPr>
        <w:tc>
          <w:tcPr>
            <w:tcW w:w="1331" w:type="dxa"/>
            <w:tcBorders>
              <w:top w:val="nil"/>
              <w:left w:val="nil"/>
              <w:bottom w:val="nil"/>
              <w:right w:val="nil"/>
            </w:tcBorders>
            <w:shd w:val="clear" w:color="auto" w:fill="auto"/>
            <w:noWrap/>
            <w:vAlign w:val="bottom"/>
            <w:hideMark/>
          </w:tcPr>
          <w:p w14:paraId="3203E01B" w14:textId="77777777" w:rsidR="006E5119" w:rsidRPr="00F31385" w:rsidRDefault="006E5119" w:rsidP="006E5119">
            <w:pPr>
              <w:jc w:val="both"/>
              <w:rPr>
                <w:rFonts w:eastAsia="Times New Roman"/>
              </w:rPr>
            </w:pPr>
          </w:p>
        </w:tc>
        <w:tc>
          <w:tcPr>
            <w:tcW w:w="1401" w:type="dxa"/>
            <w:tcBorders>
              <w:top w:val="nil"/>
              <w:left w:val="nil"/>
              <w:bottom w:val="nil"/>
              <w:right w:val="nil"/>
            </w:tcBorders>
            <w:shd w:val="clear" w:color="auto" w:fill="auto"/>
            <w:noWrap/>
            <w:vAlign w:val="bottom"/>
            <w:hideMark/>
          </w:tcPr>
          <w:p w14:paraId="59B93C6E" w14:textId="77777777" w:rsidR="006E5119" w:rsidRPr="00F31385" w:rsidRDefault="006E5119" w:rsidP="006E5119">
            <w:pPr>
              <w:jc w:val="both"/>
              <w:rPr>
                <w:rFonts w:eastAsia="Times New Roman"/>
              </w:rPr>
            </w:pPr>
            <w:r w:rsidRPr="00F31385">
              <w:rPr>
                <w:rFonts w:eastAsia="Times New Roman"/>
              </w:rPr>
              <w:t>Total revenue</w:t>
            </w:r>
          </w:p>
        </w:tc>
        <w:tc>
          <w:tcPr>
            <w:tcW w:w="1980" w:type="dxa"/>
            <w:tcBorders>
              <w:top w:val="nil"/>
              <w:left w:val="nil"/>
              <w:bottom w:val="nil"/>
              <w:right w:val="nil"/>
            </w:tcBorders>
            <w:shd w:val="clear" w:color="auto" w:fill="auto"/>
            <w:noWrap/>
            <w:vAlign w:val="bottom"/>
            <w:hideMark/>
          </w:tcPr>
          <w:p w14:paraId="325032E3" w14:textId="77777777" w:rsidR="006E5119" w:rsidRPr="00F31385" w:rsidRDefault="006E5119" w:rsidP="006E5119">
            <w:pPr>
              <w:jc w:val="both"/>
              <w:rPr>
                <w:rFonts w:eastAsia="Times New Roman"/>
              </w:rPr>
            </w:pPr>
            <w:r w:rsidRPr="00F31385">
              <w:rPr>
                <w:rFonts w:eastAsia="Times New Roman"/>
              </w:rPr>
              <w:t>Total tax revenue</w:t>
            </w:r>
          </w:p>
        </w:tc>
        <w:tc>
          <w:tcPr>
            <w:tcW w:w="1329" w:type="dxa"/>
            <w:tcBorders>
              <w:top w:val="nil"/>
              <w:left w:val="nil"/>
              <w:bottom w:val="nil"/>
              <w:right w:val="nil"/>
            </w:tcBorders>
            <w:shd w:val="clear" w:color="auto" w:fill="auto"/>
            <w:noWrap/>
            <w:vAlign w:val="bottom"/>
            <w:hideMark/>
          </w:tcPr>
          <w:p w14:paraId="49BCE9A8" w14:textId="77777777" w:rsidR="006E5119" w:rsidRPr="00F31385" w:rsidRDefault="006E5119" w:rsidP="006E5119">
            <w:pPr>
              <w:jc w:val="both"/>
              <w:rPr>
                <w:rFonts w:eastAsia="Times New Roman"/>
              </w:rPr>
            </w:pPr>
            <w:proofErr w:type="spellStart"/>
            <w:r w:rsidRPr="00F31385">
              <w:rPr>
                <w:rFonts w:eastAsia="Times New Roman"/>
              </w:rPr>
              <w:t>SBT</w:t>
            </w:r>
            <w:proofErr w:type="spellEnd"/>
          </w:p>
        </w:tc>
        <w:tc>
          <w:tcPr>
            <w:tcW w:w="1969" w:type="dxa"/>
            <w:tcBorders>
              <w:top w:val="nil"/>
              <w:left w:val="nil"/>
              <w:bottom w:val="nil"/>
              <w:right w:val="nil"/>
            </w:tcBorders>
            <w:shd w:val="clear" w:color="auto" w:fill="auto"/>
            <w:noWrap/>
            <w:vAlign w:val="bottom"/>
            <w:hideMark/>
          </w:tcPr>
          <w:p w14:paraId="6F5CBEE6" w14:textId="77777777" w:rsidR="006E5119" w:rsidRPr="00F31385" w:rsidRDefault="006E5119" w:rsidP="006E5119">
            <w:pPr>
              <w:jc w:val="both"/>
              <w:rPr>
                <w:rFonts w:eastAsia="Times New Roman"/>
              </w:rPr>
            </w:pPr>
            <w:r w:rsidRPr="00F31385">
              <w:rPr>
                <w:rFonts w:eastAsia="Times New Roman"/>
              </w:rPr>
              <w:t>Property tax</w:t>
            </w:r>
          </w:p>
        </w:tc>
        <w:tc>
          <w:tcPr>
            <w:tcW w:w="1458" w:type="dxa"/>
            <w:tcBorders>
              <w:top w:val="nil"/>
              <w:left w:val="nil"/>
              <w:bottom w:val="nil"/>
              <w:right w:val="nil"/>
            </w:tcBorders>
            <w:shd w:val="clear" w:color="auto" w:fill="auto"/>
            <w:noWrap/>
            <w:vAlign w:val="bottom"/>
            <w:hideMark/>
          </w:tcPr>
          <w:p w14:paraId="54147AD5" w14:textId="77777777" w:rsidR="006E5119" w:rsidRPr="00F31385" w:rsidRDefault="006E5119" w:rsidP="006E5119">
            <w:pPr>
              <w:jc w:val="both"/>
              <w:rPr>
                <w:rFonts w:eastAsia="Times New Roman"/>
              </w:rPr>
            </w:pPr>
            <w:r w:rsidRPr="00F31385">
              <w:rPr>
                <w:rFonts w:eastAsia="Times New Roman"/>
              </w:rPr>
              <w:t>Cleaning fee</w:t>
            </w:r>
          </w:p>
        </w:tc>
      </w:tr>
      <w:tr w:rsidR="006E5119" w:rsidRPr="00F31385" w14:paraId="195A4910" w14:textId="77777777" w:rsidTr="006E5119">
        <w:trPr>
          <w:trHeight w:val="240"/>
        </w:trPr>
        <w:tc>
          <w:tcPr>
            <w:tcW w:w="1331" w:type="dxa"/>
            <w:tcBorders>
              <w:top w:val="nil"/>
              <w:left w:val="nil"/>
              <w:bottom w:val="nil"/>
              <w:right w:val="nil"/>
            </w:tcBorders>
            <w:shd w:val="clear" w:color="auto" w:fill="auto"/>
            <w:noWrap/>
            <w:vAlign w:val="bottom"/>
            <w:hideMark/>
          </w:tcPr>
          <w:p w14:paraId="4BC76275" w14:textId="77777777" w:rsidR="006E5119" w:rsidRPr="00F31385" w:rsidRDefault="006E5119" w:rsidP="006E5119">
            <w:pPr>
              <w:jc w:val="both"/>
              <w:rPr>
                <w:rFonts w:eastAsia="Times New Roman"/>
              </w:rPr>
            </w:pPr>
          </w:p>
        </w:tc>
        <w:tc>
          <w:tcPr>
            <w:tcW w:w="1401" w:type="dxa"/>
            <w:tcBorders>
              <w:top w:val="nil"/>
              <w:left w:val="nil"/>
              <w:bottom w:val="nil"/>
              <w:right w:val="nil"/>
            </w:tcBorders>
            <w:shd w:val="clear" w:color="auto" w:fill="auto"/>
            <w:noWrap/>
            <w:vAlign w:val="bottom"/>
            <w:hideMark/>
          </w:tcPr>
          <w:p w14:paraId="3B19087B" w14:textId="77777777" w:rsidR="006E5119" w:rsidRPr="00F31385" w:rsidRDefault="006E5119" w:rsidP="006E5119">
            <w:pPr>
              <w:jc w:val="both"/>
              <w:rPr>
                <w:rFonts w:eastAsia="Times New Roman"/>
              </w:rPr>
            </w:pPr>
          </w:p>
        </w:tc>
        <w:tc>
          <w:tcPr>
            <w:tcW w:w="1980" w:type="dxa"/>
            <w:tcBorders>
              <w:top w:val="nil"/>
              <w:left w:val="nil"/>
              <w:bottom w:val="nil"/>
              <w:right w:val="nil"/>
            </w:tcBorders>
            <w:shd w:val="clear" w:color="auto" w:fill="auto"/>
            <w:noWrap/>
            <w:vAlign w:val="bottom"/>
            <w:hideMark/>
          </w:tcPr>
          <w:p w14:paraId="4A6738B1" w14:textId="77777777" w:rsidR="006E5119" w:rsidRPr="00F31385" w:rsidRDefault="006E5119" w:rsidP="006E5119">
            <w:pPr>
              <w:jc w:val="both"/>
              <w:rPr>
                <w:rFonts w:eastAsia="Times New Roman"/>
              </w:rPr>
            </w:pPr>
          </w:p>
        </w:tc>
        <w:tc>
          <w:tcPr>
            <w:tcW w:w="1329" w:type="dxa"/>
            <w:tcBorders>
              <w:top w:val="nil"/>
              <w:left w:val="nil"/>
              <w:bottom w:val="nil"/>
              <w:right w:val="nil"/>
            </w:tcBorders>
            <w:shd w:val="clear" w:color="auto" w:fill="auto"/>
            <w:noWrap/>
            <w:vAlign w:val="bottom"/>
            <w:hideMark/>
          </w:tcPr>
          <w:p w14:paraId="74F6A841" w14:textId="77777777" w:rsidR="006E5119" w:rsidRPr="00F31385" w:rsidRDefault="006E5119" w:rsidP="006E5119">
            <w:pPr>
              <w:jc w:val="both"/>
              <w:rPr>
                <w:rFonts w:eastAsia="Times New Roman"/>
              </w:rPr>
            </w:pPr>
          </w:p>
        </w:tc>
        <w:tc>
          <w:tcPr>
            <w:tcW w:w="1969" w:type="dxa"/>
            <w:tcBorders>
              <w:top w:val="nil"/>
              <w:left w:val="nil"/>
              <w:bottom w:val="nil"/>
              <w:right w:val="nil"/>
            </w:tcBorders>
            <w:shd w:val="clear" w:color="auto" w:fill="auto"/>
            <w:noWrap/>
            <w:vAlign w:val="bottom"/>
            <w:hideMark/>
          </w:tcPr>
          <w:p w14:paraId="35A1AA2B" w14:textId="77777777" w:rsidR="006E5119" w:rsidRPr="00F31385" w:rsidRDefault="006E5119" w:rsidP="006E5119">
            <w:pPr>
              <w:jc w:val="both"/>
              <w:rPr>
                <w:rFonts w:eastAsia="Times New Roman"/>
              </w:rPr>
            </w:pPr>
          </w:p>
        </w:tc>
        <w:tc>
          <w:tcPr>
            <w:tcW w:w="1458" w:type="dxa"/>
            <w:tcBorders>
              <w:top w:val="nil"/>
              <w:left w:val="nil"/>
              <w:bottom w:val="nil"/>
              <w:right w:val="nil"/>
            </w:tcBorders>
            <w:shd w:val="clear" w:color="auto" w:fill="auto"/>
            <w:noWrap/>
            <w:vAlign w:val="bottom"/>
            <w:hideMark/>
          </w:tcPr>
          <w:p w14:paraId="160A0479" w14:textId="77777777" w:rsidR="006E5119" w:rsidRPr="00F31385" w:rsidRDefault="006E5119" w:rsidP="006E5119">
            <w:pPr>
              <w:jc w:val="both"/>
              <w:rPr>
                <w:rFonts w:eastAsia="Times New Roman"/>
              </w:rPr>
            </w:pPr>
          </w:p>
        </w:tc>
      </w:tr>
      <w:tr w:rsidR="006E5119" w:rsidRPr="00F31385" w14:paraId="523313E5" w14:textId="77777777" w:rsidTr="006E5119">
        <w:trPr>
          <w:trHeight w:val="240"/>
        </w:trPr>
        <w:tc>
          <w:tcPr>
            <w:tcW w:w="1331" w:type="dxa"/>
            <w:tcBorders>
              <w:top w:val="nil"/>
              <w:left w:val="nil"/>
              <w:bottom w:val="nil"/>
              <w:right w:val="nil"/>
            </w:tcBorders>
            <w:shd w:val="clear" w:color="auto" w:fill="auto"/>
            <w:noWrap/>
            <w:vAlign w:val="bottom"/>
            <w:hideMark/>
          </w:tcPr>
          <w:p w14:paraId="37B199A5" w14:textId="77777777" w:rsidR="006E5119" w:rsidRPr="00F31385" w:rsidRDefault="006E5119" w:rsidP="006E5119">
            <w:pPr>
              <w:jc w:val="both"/>
              <w:rPr>
                <w:rFonts w:eastAsia="Times New Roman"/>
              </w:rPr>
            </w:pPr>
            <w:r w:rsidRPr="00F31385">
              <w:rPr>
                <w:rFonts w:eastAsia="Times New Roman"/>
              </w:rPr>
              <w:t>Average</w:t>
            </w:r>
          </w:p>
        </w:tc>
        <w:tc>
          <w:tcPr>
            <w:tcW w:w="1401" w:type="dxa"/>
            <w:tcBorders>
              <w:top w:val="nil"/>
              <w:left w:val="nil"/>
              <w:bottom w:val="nil"/>
              <w:right w:val="nil"/>
            </w:tcBorders>
            <w:shd w:val="clear" w:color="auto" w:fill="auto"/>
            <w:noWrap/>
            <w:vAlign w:val="bottom"/>
            <w:hideMark/>
          </w:tcPr>
          <w:p w14:paraId="33601693" w14:textId="77777777" w:rsidR="006E5119" w:rsidRPr="00F31385" w:rsidRDefault="006E5119" w:rsidP="006E5119">
            <w:pPr>
              <w:jc w:val="both"/>
              <w:rPr>
                <w:rFonts w:eastAsia="Times New Roman"/>
              </w:rPr>
            </w:pPr>
            <w:r w:rsidRPr="00F31385">
              <w:rPr>
                <w:rFonts w:eastAsia="Times New Roman"/>
              </w:rPr>
              <w:t>9,382</w:t>
            </w:r>
          </w:p>
        </w:tc>
        <w:tc>
          <w:tcPr>
            <w:tcW w:w="1980" w:type="dxa"/>
            <w:tcBorders>
              <w:top w:val="nil"/>
              <w:left w:val="nil"/>
              <w:bottom w:val="nil"/>
              <w:right w:val="nil"/>
            </w:tcBorders>
            <w:shd w:val="clear" w:color="auto" w:fill="auto"/>
            <w:noWrap/>
            <w:vAlign w:val="bottom"/>
            <w:hideMark/>
          </w:tcPr>
          <w:p w14:paraId="084ED1C2" w14:textId="77777777" w:rsidR="006E5119" w:rsidRPr="00F31385" w:rsidRDefault="006E5119" w:rsidP="006E5119">
            <w:pPr>
              <w:jc w:val="both"/>
              <w:rPr>
                <w:rFonts w:eastAsia="Times New Roman"/>
              </w:rPr>
            </w:pPr>
            <w:r w:rsidRPr="00F31385">
              <w:rPr>
                <w:rFonts w:eastAsia="Times New Roman"/>
              </w:rPr>
              <w:t>2,427</w:t>
            </w:r>
          </w:p>
        </w:tc>
        <w:tc>
          <w:tcPr>
            <w:tcW w:w="1329" w:type="dxa"/>
            <w:tcBorders>
              <w:top w:val="nil"/>
              <w:left w:val="nil"/>
              <w:bottom w:val="nil"/>
              <w:right w:val="nil"/>
            </w:tcBorders>
            <w:shd w:val="clear" w:color="auto" w:fill="auto"/>
            <w:noWrap/>
            <w:vAlign w:val="bottom"/>
            <w:hideMark/>
          </w:tcPr>
          <w:p w14:paraId="52D1B679" w14:textId="77777777" w:rsidR="006E5119" w:rsidRPr="00F31385" w:rsidRDefault="006E5119" w:rsidP="006E5119">
            <w:pPr>
              <w:jc w:val="both"/>
              <w:rPr>
                <w:rFonts w:eastAsia="Times New Roman"/>
              </w:rPr>
            </w:pPr>
            <w:r w:rsidRPr="00F31385">
              <w:rPr>
                <w:rFonts w:eastAsia="Times New Roman"/>
              </w:rPr>
              <w:t>460</w:t>
            </w:r>
          </w:p>
        </w:tc>
        <w:tc>
          <w:tcPr>
            <w:tcW w:w="1969" w:type="dxa"/>
            <w:tcBorders>
              <w:top w:val="nil"/>
              <w:left w:val="nil"/>
              <w:bottom w:val="nil"/>
              <w:right w:val="nil"/>
            </w:tcBorders>
            <w:shd w:val="clear" w:color="auto" w:fill="auto"/>
            <w:noWrap/>
            <w:vAlign w:val="bottom"/>
            <w:hideMark/>
          </w:tcPr>
          <w:p w14:paraId="5252263C" w14:textId="77777777" w:rsidR="006E5119" w:rsidRPr="00F31385" w:rsidRDefault="006E5119" w:rsidP="006E5119">
            <w:pPr>
              <w:jc w:val="both"/>
              <w:rPr>
                <w:rFonts w:eastAsia="Times New Roman"/>
              </w:rPr>
            </w:pPr>
            <w:r w:rsidRPr="00F31385">
              <w:rPr>
                <w:rFonts w:eastAsia="Times New Roman"/>
              </w:rPr>
              <w:t>426</w:t>
            </w:r>
          </w:p>
        </w:tc>
        <w:tc>
          <w:tcPr>
            <w:tcW w:w="1458" w:type="dxa"/>
            <w:tcBorders>
              <w:top w:val="nil"/>
              <w:left w:val="nil"/>
              <w:bottom w:val="nil"/>
              <w:right w:val="nil"/>
            </w:tcBorders>
            <w:shd w:val="clear" w:color="auto" w:fill="auto"/>
            <w:noWrap/>
            <w:vAlign w:val="bottom"/>
            <w:hideMark/>
          </w:tcPr>
          <w:p w14:paraId="3491A350" w14:textId="77777777" w:rsidR="006E5119" w:rsidRPr="00F31385" w:rsidRDefault="006E5119" w:rsidP="006E5119">
            <w:pPr>
              <w:jc w:val="both"/>
              <w:rPr>
                <w:rFonts w:eastAsia="Times New Roman"/>
              </w:rPr>
            </w:pPr>
            <w:r w:rsidRPr="00F31385">
              <w:rPr>
                <w:rFonts w:eastAsia="Times New Roman"/>
              </w:rPr>
              <w:t>311</w:t>
            </w:r>
          </w:p>
        </w:tc>
      </w:tr>
      <w:tr w:rsidR="006E5119" w:rsidRPr="00F31385" w14:paraId="40D0A434" w14:textId="77777777" w:rsidTr="006E5119">
        <w:trPr>
          <w:trHeight w:val="240"/>
        </w:trPr>
        <w:tc>
          <w:tcPr>
            <w:tcW w:w="1331" w:type="dxa"/>
            <w:tcBorders>
              <w:top w:val="nil"/>
              <w:left w:val="nil"/>
              <w:bottom w:val="nil"/>
              <w:right w:val="nil"/>
            </w:tcBorders>
            <w:shd w:val="clear" w:color="auto" w:fill="auto"/>
            <w:noWrap/>
            <w:vAlign w:val="bottom"/>
            <w:hideMark/>
          </w:tcPr>
          <w:p w14:paraId="0C8F1E3F" w14:textId="77777777" w:rsidR="006E5119" w:rsidRPr="00F31385" w:rsidRDefault="006E5119" w:rsidP="006E5119">
            <w:pPr>
              <w:jc w:val="both"/>
              <w:rPr>
                <w:rFonts w:eastAsia="Times New Roman"/>
              </w:rPr>
            </w:pPr>
            <w:r w:rsidRPr="00F31385">
              <w:rPr>
                <w:rFonts w:eastAsia="Times New Roman"/>
              </w:rPr>
              <w:t>Min</w:t>
            </w:r>
          </w:p>
        </w:tc>
        <w:tc>
          <w:tcPr>
            <w:tcW w:w="1401" w:type="dxa"/>
            <w:tcBorders>
              <w:top w:val="nil"/>
              <w:left w:val="nil"/>
              <w:bottom w:val="nil"/>
              <w:right w:val="nil"/>
            </w:tcBorders>
            <w:shd w:val="clear" w:color="auto" w:fill="auto"/>
            <w:noWrap/>
            <w:vAlign w:val="bottom"/>
            <w:hideMark/>
          </w:tcPr>
          <w:p w14:paraId="6988197F" w14:textId="77777777" w:rsidR="006E5119" w:rsidRPr="00F31385" w:rsidRDefault="006E5119" w:rsidP="006E5119">
            <w:pPr>
              <w:jc w:val="both"/>
              <w:rPr>
                <w:rFonts w:eastAsia="Times New Roman"/>
              </w:rPr>
            </w:pPr>
            <w:r w:rsidRPr="00F31385">
              <w:rPr>
                <w:rFonts w:eastAsia="Times New Roman"/>
              </w:rPr>
              <w:t>43</w:t>
            </w:r>
          </w:p>
        </w:tc>
        <w:tc>
          <w:tcPr>
            <w:tcW w:w="1980" w:type="dxa"/>
            <w:tcBorders>
              <w:top w:val="nil"/>
              <w:left w:val="nil"/>
              <w:bottom w:val="nil"/>
              <w:right w:val="nil"/>
            </w:tcBorders>
            <w:shd w:val="clear" w:color="auto" w:fill="auto"/>
            <w:noWrap/>
            <w:vAlign w:val="bottom"/>
            <w:hideMark/>
          </w:tcPr>
          <w:p w14:paraId="25470956" w14:textId="77777777" w:rsidR="006E5119" w:rsidRPr="00F31385" w:rsidRDefault="006E5119" w:rsidP="006E5119">
            <w:pPr>
              <w:jc w:val="both"/>
              <w:rPr>
                <w:rFonts w:eastAsia="Times New Roman"/>
              </w:rPr>
            </w:pPr>
            <w:r w:rsidRPr="00F31385">
              <w:rPr>
                <w:rFonts w:eastAsia="Times New Roman"/>
              </w:rPr>
              <w:t>207</w:t>
            </w:r>
          </w:p>
        </w:tc>
        <w:tc>
          <w:tcPr>
            <w:tcW w:w="1329" w:type="dxa"/>
            <w:tcBorders>
              <w:top w:val="nil"/>
              <w:left w:val="nil"/>
              <w:bottom w:val="nil"/>
              <w:right w:val="nil"/>
            </w:tcBorders>
            <w:shd w:val="clear" w:color="auto" w:fill="auto"/>
            <w:noWrap/>
            <w:vAlign w:val="bottom"/>
            <w:hideMark/>
          </w:tcPr>
          <w:p w14:paraId="313DE6CF" w14:textId="77777777" w:rsidR="006E5119" w:rsidRPr="00F31385" w:rsidRDefault="006E5119" w:rsidP="006E5119">
            <w:pPr>
              <w:jc w:val="both"/>
              <w:rPr>
                <w:rFonts w:eastAsia="Times New Roman"/>
              </w:rPr>
            </w:pPr>
            <w:r w:rsidRPr="00F31385">
              <w:rPr>
                <w:rFonts w:eastAsia="Times New Roman"/>
              </w:rPr>
              <w:t>0</w:t>
            </w:r>
          </w:p>
        </w:tc>
        <w:tc>
          <w:tcPr>
            <w:tcW w:w="1969" w:type="dxa"/>
            <w:tcBorders>
              <w:top w:val="nil"/>
              <w:left w:val="nil"/>
              <w:bottom w:val="nil"/>
              <w:right w:val="nil"/>
            </w:tcBorders>
            <w:shd w:val="clear" w:color="auto" w:fill="auto"/>
            <w:noWrap/>
            <w:vAlign w:val="bottom"/>
            <w:hideMark/>
          </w:tcPr>
          <w:p w14:paraId="2ECC6060" w14:textId="77777777" w:rsidR="006E5119" w:rsidRPr="00F31385" w:rsidRDefault="006E5119" w:rsidP="006E5119">
            <w:pPr>
              <w:jc w:val="both"/>
              <w:rPr>
                <w:rFonts w:eastAsia="Times New Roman"/>
              </w:rPr>
            </w:pPr>
            <w:r w:rsidRPr="00F31385">
              <w:rPr>
                <w:rFonts w:eastAsia="Times New Roman"/>
              </w:rPr>
              <w:t>0</w:t>
            </w:r>
          </w:p>
        </w:tc>
        <w:tc>
          <w:tcPr>
            <w:tcW w:w="1458" w:type="dxa"/>
            <w:tcBorders>
              <w:top w:val="nil"/>
              <w:left w:val="nil"/>
              <w:bottom w:val="nil"/>
              <w:right w:val="nil"/>
            </w:tcBorders>
            <w:shd w:val="clear" w:color="auto" w:fill="auto"/>
            <w:noWrap/>
            <w:vAlign w:val="bottom"/>
            <w:hideMark/>
          </w:tcPr>
          <w:p w14:paraId="719A2028" w14:textId="77777777" w:rsidR="006E5119" w:rsidRPr="00F31385" w:rsidRDefault="006E5119" w:rsidP="006E5119">
            <w:pPr>
              <w:jc w:val="both"/>
              <w:rPr>
                <w:rFonts w:eastAsia="Times New Roman"/>
              </w:rPr>
            </w:pPr>
            <w:r w:rsidRPr="00F31385">
              <w:rPr>
                <w:rFonts w:eastAsia="Times New Roman"/>
              </w:rPr>
              <w:t>0</w:t>
            </w:r>
          </w:p>
        </w:tc>
      </w:tr>
      <w:tr w:rsidR="006E5119" w:rsidRPr="00F31385" w14:paraId="6D818636" w14:textId="77777777" w:rsidTr="006E5119">
        <w:trPr>
          <w:trHeight w:val="240"/>
        </w:trPr>
        <w:tc>
          <w:tcPr>
            <w:tcW w:w="1331" w:type="dxa"/>
            <w:tcBorders>
              <w:top w:val="nil"/>
              <w:left w:val="nil"/>
              <w:bottom w:val="nil"/>
              <w:right w:val="nil"/>
            </w:tcBorders>
            <w:shd w:val="clear" w:color="auto" w:fill="auto"/>
            <w:noWrap/>
            <w:vAlign w:val="bottom"/>
            <w:hideMark/>
          </w:tcPr>
          <w:p w14:paraId="1F383A88" w14:textId="77777777" w:rsidR="006E5119" w:rsidRPr="00F31385" w:rsidRDefault="006E5119" w:rsidP="006E5119">
            <w:pPr>
              <w:jc w:val="both"/>
              <w:rPr>
                <w:rFonts w:eastAsia="Times New Roman"/>
              </w:rPr>
            </w:pPr>
            <w:r w:rsidRPr="00F31385">
              <w:rPr>
                <w:rFonts w:eastAsia="Times New Roman"/>
              </w:rPr>
              <w:t>Max</w:t>
            </w:r>
          </w:p>
        </w:tc>
        <w:tc>
          <w:tcPr>
            <w:tcW w:w="1401" w:type="dxa"/>
            <w:tcBorders>
              <w:top w:val="nil"/>
              <w:left w:val="nil"/>
              <w:bottom w:val="nil"/>
              <w:right w:val="nil"/>
            </w:tcBorders>
            <w:shd w:val="clear" w:color="auto" w:fill="auto"/>
            <w:noWrap/>
            <w:vAlign w:val="bottom"/>
            <w:hideMark/>
          </w:tcPr>
          <w:p w14:paraId="4B2A2C80" w14:textId="77777777" w:rsidR="006E5119" w:rsidRPr="00F31385" w:rsidRDefault="006E5119" w:rsidP="006E5119">
            <w:pPr>
              <w:jc w:val="both"/>
              <w:rPr>
                <w:rFonts w:eastAsia="Times New Roman"/>
              </w:rPr>
            </w:pPr>
            <w:r w:rsidRPr="00F31385">
              <w:rPr>
                <w:rFonts w:eastAsia="Times New Roman"/>
              </w:rPr>
              <w:t>40,573</w:t>
            </w:r>
          </w:p>
        </w:tc>
        <w:tc>
          <w:tcPr>
            <w:tcW w:w="1980" w:type="dxa"/>
            <w:tcBorders>
              <w:top w:val="nil"/>
              <w:left w:val="nil"/>
              <w:bottom w:val="nil"/>
              <w:right w:val="nil"/>
            </w:tcBorders>
            <w:shd w:val="clear" w:color="auto" w:fill="auto"/>
            <w:noWrap/>
            <w:vAlign w:val="bottom"/>
            <w:hideMark/>
          </w:tcPr>
          <w:p w14:paraId="2BFA1413" w14:textId="77777777" w:rsidR="006E5119" w:rsidRPr="00F31385" w:rsidRDefault="006E5119" w:rsidP="006E5119">
            <w:pPr>
              <w:jc w:val="both"/>
              <w:rPr>
                <w:rFonts w:eastAsia="Times New Roman"/>
              </w:rPr>
            </w:pPr>
            <w:r w:rsidRPr="00F31385">
              <w:rPr>
                <w:rFonts w:eastAsia="Times New Roman"/>
              </w:rPr>
              <w:t>19,969</w:t>
            </w:r>
          </w:p>
        </w:tc>
        <w:tc>
          <w:tcPr>
            <w:tcW w:w="1329" w:type="dxa"/>
            <w:tcBorders>
              <w:top w:val="nil"/>
              <w:left w:val="nil"/>
              <w:bottom w:val="nil"/>
              <w:right w:val="nil"/>
            </w:tcBorders>
            <w:shd w:val="clear" w:color="auto" w:fill="auto"/>
            <w:noWrap/>
            <w:vAlign w:val="bottom"/>
            <w:hideMark/>
          </w:tcPr>
          <w:p w14:paraId="33E0F41F" w14:textId="77777777" w:rsidR="006E5119" w:rsidRPr="00F31385" w:rsidRDefault="006E5119" w:rsidP="006E5119">
            <w:pPr>
              <w:jc w:val="both"/>
              <w:rPr>
                <w:rFonts w:eastAsia="Times New Roman"/>
              </w:rPr>
            </w:pPr>
            <w:r w:rsidRPr="00F31385">
              <w:rPr>
                <w:rFonts w:eastAsia="Times New Roman"/>
              </w:rPr>
              <w:t>1,399</w:t>
            </w:r>
          </w:p>
        </w:tc>
        <w:tc>
          <w:tcPr>
            <w:tcW w:w="1969" w:type="dxa"/>
            <w:tcBorders>
              <w:top w:val="nil"/>
              <w:left w:val="nil"/>
              <w:bottom w:val="nil"/>
              <w:right w:val="nil"/>
            </w:tcBorders>
            <w:shd w:val="clear" w:color="auto" w:fill="auto"/>
            <w:noWrap/>
            <w:vAlign w:val="bottom"/>
            <w:hideMark/>
          </w:tcPr>
          <w:p w14:paraId="58020D38" w14:textId="77777777" w:rsidR="006E5119" w:rsidRPr="00F31385" w:rsidRDefault="006E5119" w:rsidP="006E5119">
            <w:pPr>
              <w:jc w:val="both"/>
              <w:rPr>
                <w:rFonts w:eastAsia="Times New Roman"/>
              </w:rPr>
            </w:pPr>
            <w:r w:rsidRPr="00F31385">
              <w:rPr>
                <w:rFonts w:eastAsia="Times New Roman"/>
              </w:rPr>
              <w:t>3,835</w:t>
            </w:r>
          </w:p>
        </w:tc>
        <w:tc>
          <w:tcPr>
            <w:tcW w:w="1458" w:type="dxa"/>
            <w:tcBorders>
              <w:top w:val="nil"/>
              <w:left w:val="nil"/>
              <w:bottom w:val="nil"/>
              <w:right w:val="nil"/>
            </w:tcBorders>
            <w:shd w:val="clear" w:color="auto" w:fill="auto"/>
            <w:noWrap/>
            <w:vAlign w:val="bottom"/>
            <w:hideMark/>
          </w:tcPr>
          <w:p w14:paraId="61C213E1" w14:textId="77777777" w:rsidR="006E5119" w:rsidRPr="00F31385" w:rsidRDefault="006E5119" w:rsidP="006E5119">
            <w:pPr>
              <w:jc w:val="both"/>
              <w:rPr>
                <w:rFonts w:eastAsia="Times New Roman"/>
              </w:rPr>
            </w:pPr>
            <w:r w:rsidRPr="00F31385">
              <w:rPr>
                <w:rFonts w:eastAsia="Times New Roman"/>
              </w:rPr>
              <w:t>1,390</w:t>
            </w:r>
          </w:p>
        </w:tc>
      </w:tr>
      <w:tr w:rsidR="006E5119" w:rsidRPr="00F31385" w14:paraId="24E9AD8E" w14:textId="77777777" w:rsidTr="006E5119">
        <w:trPr>
          <w:trHeight w:val="240"/>
        </w:trPr>
        <w:tc>
          <w:tcPr>
            <w:tcW w:w="1331" w:type="dxa"/>
            <w:tcBorders>
              <w:top w:val="nil"/>
              <w:left w:val="nil"/>
              <w:bottom w:val="nil"/>
              <w:right w:val="nil"/>
            </w:tcBorders>
            <w:shd w:val="clear" w:color="auto" w:fill="auto"/>
            <w:noWrap/>
            <w:vAlign w:val="bottom"/>
            <w:hideMark/>
          </w:tcPr>
          <w:p w14:paraId="1D06BFE7" w14:textId="77777777" w:rsidR="006E5119" w:rsidRPr="00F31385" w:rsidRDefault="006E5119" w:rsidP="006E5119">
            <w:pPr>
              <w:jc w:val="both"/>
              <w:rPr>
                <w:rFonts w:eastAsia="Times New Roman"/>
              </w:rPr>
            </w:pPr>
            <w:proofErr w:type="spellStart"/>
            <w:r w:rsidRPr="00F31385">
              <w:rPr>
                <w:rFonts w:eastAsia="Times New Roman"/>
              </w:rPr>
              <w:t>STDEV</w:t>
            </w:r>
            <w:proofErr w:type="spellEnd"/>
          </w:p>
        </w:tc>
        <w:tc>
          <w:tcPr>
            <w:tcW w:w="1401" w:type="dxa"/>
            <w:tcBorders>
              <w:top w:val="nil"/>
              <w:left w:val="nil"/>
              <w:bottom w:val="nil"/>
              <w:right w:val="nil"/>
            </w:tcBorders>
            <w:shd w:val="clear" w:color="auto" w:fill="auto"/>
            <w:noWrap/>
            <w:vAlign w:val="bottom"/>
            <w:hideMark/>
          </w:tcPr>
          <w:p w14:paraId="26FCC52E" w14:textId="77777777" w:rsidR="006E5119" w:rsidRPr="00F31385" w:rsidRDefault="006E5119" w:rsidP="006E5119">
            <w:pPr>
              <w:jc w:val="both"/>
              <w:rPr>
                <w:rFonts w:eastAsia="Times New Roman"/>
              </w:rPr>
            </w:pPr>
            <w:r w:rsidRPr="00F31385">
              <w:rPr>
                <w:rFonts w:eastAsia="Times New Roman"/>
              </w:rPr>
              <w:t>6,526</w:t>
            </w:r>
          </w:p>
        </w:tc>
        <w:tc>
          <w:tcPr>
            <w:tcW w:w="1980" w:type="dxa"/>
            <w:tcBorders>
              <w:top w:val="nil"/>
              <w:left w:val="nil"/>
              <w:bottom w:val="nil"/>
              <w:right w:val="nil"/>
            </w:tcBorders>
            <w:shd w:val="clear" w:color="auto" w:fill="auto"/>
            <w:noWrap/>
            <w:vAlign w:val="bottom"/>
            <w:hideMark/>
          </w:tcPr>
          <w:p w14:paraId="4A253B65" w14:textId="77777777" w:rsidR="006E5119" w:rsidRPr="00F31385" w:rsidRDefault="006E5119" w:rsidP="006E5119">
            <w:pPr>
              <w:jc w:val="both"/>
              <w:rPr>
                <w:rFonts w:eastAsia="Times New Roman"/>
              </w:rPr>
            </w:pPr>
            <w:r w:rsidRPr="00F31385">
              <w:rPr>
                <w:rFonts w:eastAsia="Times New Roman"/>
              </w:rPr>
              <w:t>2,961</w:t>
            </w:r>
          </w:p>
        </w:tc>
        <w:tc>
          <w:tcPr>
            <w:tcW w:w="1329" w:type="dxa"/>
            <w:tcBorders>
              <w:top w:val="nil"/>
              <w:left w:val="nil"/>
              <w:bottom w:val="nil"/>
              <w:right w:val="nil"/>
            </w:tcBorders>
            <w:shd w:val="clear" w:color="auto" w:fill="auto"/>
            <w:noWrap/>
            <w:vAlign w:val="bottom"/>
            <w:hideMark/>
          </w:tcPr>
          <w:p w14:paraId="116468B0" w14:textId="77777777" w:rsidR="006E5119" w:rsidRPr="00F31385" w:rsidRDefault="006E5119" w:rsidP="006E5119">
            <w:pPr>
              <w:jc w:val="both"/>
              <w:rPr>
                <w:rFonts w:eastAsia="Times New Roman"/>
              </w:rPr>
            </w:pPr>
            <w:r w:rsidRPr="00F31385">
              <w:rPr>
                <w:rFonts w:eastAsia="Times New Roman"/>
              </w:rPr>
              <w:t>381</w:t>
            </w:r>
          </w:p>
        </w:tc>
        <w:tc>
          <w:tcPr>
            <w:tcW w:w="1969" w:type="dxa"/>
            <w:tcBorders>
              <w:top w:val="nil"/>
              <w:left w:val="nil"/>
              <w:bottom w:val="nil"/>
              <w:right w:val="nil"/>
            </w:tcBorders>
            <w:shd w:val="clear" w:color="auto" w:fill="auto"/>
            <w:noWrap/>
            <w:vAlign w:val="bottom"/>
            <w:hideMark/>
          </w:tcPr>
          <w:p w14:paraId="5410D6FE" w14:textId="77777777" w:rsidR="006E5119" w:rsidRPr="00F31385" w:rsidRDefault="006E5119" w:rsidP="006E5119">
            <w:pPr>
              <w:jc w:val="both"/>
              <w:rPr>
                <w:rFonts w:eastAsia="Times New Roman"/>
              </w:rPr>
            </w:pPr>
            <w:r w:rsidRPr="00F31385">
              <w:rPr>
                <w:rFonts w:eastAsia="Times New Roman"/>
              </w:rPr>
              <w:t>541</w:t>
            </w:r>
          </w:p>
        </w:tc>
        <w:tc>
          <w:tcPr>
            <w:tcW w:w="1458" w:type="dxa"/>
            <w:tcBorders>
              <w:top w:val="nil"/>
              <w:left w:val="nil"/>
              <w:bottom w:val="nil"/>
              <w:right w:val="nil"/>
            </w:tcBorders>
            <w:shd w:val="clear" w:color="auto" w:fill="auto"/>
            <w:noWrap/>
            <w:vAlign w:val="bottom"/>
            <w:hideMark/>
          </w:tcPr>
          <w:p w14:paraId="2514AAD0" w14:textId="77777777" w:rsidR="006E5119" w:rsidRPr="00F31385" w:rsidRDefault="006E5119" w:rsidP="006E5119">
            <w:pPr>
              <w:jc w:val="both"/>
              <w:rPr>
                <w:rFonts w:eastAsia="Times New Roman"/>
              </w:rPr>
            </w:pPr>
            <w:r w:rsidRPr="00F31385">
              <w:rPr>
                <w:rFonts w:eastAsia="Times New Roman"/>
              </w:rPr>
              <w:t>277</w:t>
            </w:r>
          </w:p>
        </w:tc>
      </w:tr>
      <w:tr w:rsidR="006E5119" w:rsidRPr="00F31385" w14:paraId="6C931B2A" w14:textId="77777777" w:rsidTr="006E5119">
        <w:trPr>
          <w:trHeight w:val="240"/>
        </w:trPr>
        <w:tc>
          <w:tcPr>
            <w:tcW w:w="1331" w:type="dxa"/>
            <w:tcBorders>
              <w:top w:val="nil"/>
              <w:left w:val="nil"/>
              <w:bottom w:val="nil"/>
              <w:right w:val="nil"/>
            </w:tcBorders>
            <w:shd w:val="clear" w:color="auto" w:fill="auto"/>
            <w:noWrap/>
            <w:vAlign w:val="bottom"/>
            <w:hideMark/>
          </w:tcPr>
          <w:p w14:paraId="33B3D8B5" w14:textId="77777777" w:rsidR="006E5119" w:rsidRPr="00F31385" w:rsidRDefault="006E5119" w:rsidP="006E5119">
            <w:pPr>
              <w:jc w:val="both"/>
              <w:rPr>
                <w:rFonts w:eastAsia="Times New Roman"/>
              </w:rPr>
            </w:pPr>
            <w:r w:rsidRPr="00F31385">
              <w:rPr>
                <w:rFonts w:eastAsia="Times New Roman"/>
              </w:rPr>
              <w:t>CV</w:t>
            </w:r>
          </w:p>
        </w:tc>
        <w:tc>
          <w:tcPr>
            <w:tcW w:w="1401" w:type="dxa"/>
            <w:tcBorders>
              <w:top w:val="nil"/>
              <w:left w:val="nil"/>
              <w:bottom w:val="nil"/>
              <w:right w:val="nil"/>
            </w:tcBorders>
            <w:shd w:val="clear" w:color="auto" w:fill="auto"/>
            <w:noWrap/>
            <w:vAlign w:val="bottom"/>
            <w:hideMark/>
          </w:tcPr>
          <w:p w14:paraId="158D7378" w14:textId="77777777" w:rsidR="006E5119" w:rsidRPr="00F31385" w:rsidRDefault="006E5119" w:rsidP="006E5119">
            <w:pPr>
              <w:jc w:val="both"/>
              <w:rPr>
                <w:rFonts w:eastAsia="Times New Roman"/>
              </w:rPr>
            </w:pPr>
            <w:r w:rsidRPr="00F31385">
              <w:rPr>
                <w:rFonts w:eastAsia="Times New Roman"/>
              </w:rPr>
              <w:t>0.70</w:t>
            </w:r>
          </w:p>
        </w:tc>
        <w:tc>
          <w:tcPr>
            <w:tcW w:w="1980" w:type="dxa"/>
            <w:tcBorders>
              <w:top w:val="nil"/>
              <w:left w:val="nil"/>
              <w:bottom w:val="nil"/>
              <w:right w:val="nil"/>
            </w:tcBorders>
            <w:shd w:val="clear" w:color="auto" w:fill="auto"/>
            <w:noWrap/>
            <w:vAlign w:val="bottom"/>
            <w:hideMark/>
          </w:tcPr>
          <w:p w14:paraId="6E9382A8" w14:textId="77777777" w:rsidR="006E5119" w:rsidRPr="00F31385" w:rsidRDefault="006E5119" w:rsidP="006E5119">
            <w:pPr>
              <w:jc w:val="both"/>
              <w:rPr>
                <w:rFonts w:eastAsia="Times New Roman"/>
              </w:rPr>
            </w:pPr>
            <w:r w:rsidRPr="00F31385">
              <w:rPr>
                <w:rFonts w:eastAsia="Times New Roman"/>
              </w:rPr>
              <w:t>1.22</w:t>
            </w:r>
          </w:p>
        </w:tc>
        <w:tc>
          <w:tcPr>
            <w:tcW w:w="1329" w:type="dxa"/>
            <w:tcBorders>
              <w:top w:val="nil"/>
              <w:left w:val="nil"/>
              <w:bottom w:val="nil"/>
              <w:right w:val="nil"/>
            </w:tcBorders>
            <w:shd w:val="clear" w:color="auto" w:fill="auto"/>
            <w:noWrap/>
            <w:vAlign w:val="bottom"/>
            <w:hideMark/>
          </w:tcPr>
          <w:p w14:paraId="2C084C7C" w14:textId="77777777" w:rsidR="006E5119" w:rsidRPr="00F31385" w:rsidRDefault="006E5119" w:rsidP="006E5119">
            <w:pPr>
              <w:jc w:val="both"/>
              <w:rPr>
                <w:rFonts w:eastAsia="Times New Roman"/>
              </w:rPr>
            </w:pPr>
            <w:r w:rsidRPr="00F31385">
              <w:rPr>
                <w:rFonts w:eastAsia="Times New Roman"/>
              </w:rPr>
              <w:t>0.83</w:t>
            </w:r>
          </w:p>
        </w:tc>
        <w:tc>
          <w:tcPr>
            <w:tcW w:w="1969" w:type="dxa"/>
            <w:tcBorders>
              <w:top w:val="nil"/>
              <w:left w:val="nil"/>
              <w:bottom w:val="nil"/>
              <w:right w:val="nil"/>
            </w:tcBorders>
            <w:shd w:val="clear" w:color="auto" w:fill="auto"/>
            <w:noWrap/>
            <w:vAlign w:val="bottom"/>
            <w:hideMark/>
          </w:tcPr>
          <w:p w14:paraId="556B08C9" w14:textId="77777777" w:rsidR="006E5119" w:rsidRPr="00F31385" w:rsidRDefault="006E5119" w:rsidP="006E5119">
            <w:pPr>
              <w:jc w:val="both"/>
              <w:rPr>
                <w:rFonts w:eastAsia="Times New Roman"/>
              </w:rPr>
            </w:pPr>
            <w:r w:rsidRPr="00F31385">
              <w:rPr>
                <w:rFonts w:eastAsia="Times New Roman"/>
              </w:rPr>
              <w:t>1.27</w:t>
            </w:r>
          </w:p>
        </w:tc>
        <w:tc>
          <w:tcPr>
            <w:tcW w:w="1458" w:type="dxa"/>
            <w:tcBorders>
              <w:top w:val="nil"/>
              <w:left w:val="nil"/>
              <w:bottom w:val="nil"/>
              <w:right w:val="nil"/>
            </w:tcBorders>
            <w:shd w:val="clear" w:color="auto" w:fill="auto"/>
            <w:noWrap/>
            <w:vAlign w:val="bottom"/>
            <w:hideMark/>
          </w:tcPr>
          <w:p w14:paraId="063CFBC3" w14:textId="77777777" w:rsidR="006E5119" w:rsidRPr="00F31385" w:rsidRDefault="006E5119" w:rsidP="006E5119">
            <w:pPr>
              <w:jc w:val="both"/>
              <w:rPr>
                <w:rFonts w:eastAsia="Times New Roman"/>
              </w:rPr>
            </w:pPr>
            <w:r w:rsidRPr="00F31385">
              <w:rPr>
                <w:rFonts w:eastAsia="Times New Roman"/>
              </w:rPr>
              <w:t>0.89</w:t>
            </w:r>
          </w:p>
        </w:tc>
      </w:tr>
      <w:tr w:rsidR="006E5119" w:rsidRPr="00F31385" w14:paraId="32D01048" w14:textId="77777777" w:rsidTr="006E5119">
        <w:trPr>
          <w:trHeight w:val="240"/>
        </w:trPr>
        <w:tc>
          <w:tcPr>
            <w:tcW w:w="1331" w:type="dxa"/>
            <w:tcBorders>
              <w:top w:val="nil"/>
              <w:left w:val="nil"/>
              <w:bottom w:val="nil"/>
              <w:right w:val="nil"/>
            </w:tcBorders>
            <w:shd w:val="clear" w:color="auto" w:fill="auto"/>
            <w:noWrap/>
            <w:vAlign w:val="bottom"/>
            <w:hideMark/>
          </w:tcPr>
          <w:p w14:paraId="6286045B" w14:textId="77777777" w:rsidR="006E5119" w:rsidRPr="00F31385" w:rsidRDefault="006E5119" w:rsidP="006E5119">
            <w:pPr>
              <w:jc w:val="both"/>
              <w:rPr>
                <w:rFonts w:eastAsia="Times New Roman"/>
              </w:rPr>
            </w:pPr>
            <w:r w:rsidRPr="00F31385">
              <w:rPr>
                <w:rFonts w:eastAsia="Times New Roman"/>
              </w:rPr>
              <w:t>Sum</w:t>
            </w:r>
          </w:p>
        </w:tc>
        <w:tc>
          <w:tcPr>
            <w:tcW w:w="1401" w:type="dxa"/>
            <w:tcBorders>
              <w:top w:val="nil"/>
              <w:left w:val="nil"/>
              <w:bottom w:val="nil"/>
              <w:right w:val="nil"/>
            </w:tcBorders>
            <w:shd w:val="clear" w:color="auto" w:fill="auto"/>
            <w:noWrap/>
            <w:vAlign w:val="bottom"/>
            <w:hideMark/>
          </w:tcPr>
          <w:p w14:paraId="4A61F8B1" w14:textId="77777777" w:rsidR="006E5119" w:rsidRPr="00F31385" w:rsidRDefault="006E5119" w:rsidP="006E5119">
            <w:pPr>
              <w:jc w:val="both"/>
              <w:rPr>
                <w:rFonts w:eastAsia="Times New Roman"/>
              </w:rPr>
            </w:pPr>
            <w:r w:rsidRPr="00F31385">
              <w:rPr>
                <w:rFonts w:eastAsia="Times New Roman"/>
              </w:rPr>
              <w:t>450,359</w:t>
            </w:r>
          </w:p>
        </w:tc>
        <w:tc>
          <w:tcPr>
            <w:tcW w:w="1980" w:type="dxa"/>
            <w:tcBorders>
              <w:top w:val="nil"/>
              <w:left w:val="nil"/>
              <w:bottom w:val="nil"/>
              <w:right w:val="nil"/>
            </w:tcBorders>
            <w:shd w:val="clear" w:color="auto" w:fill="auto"/>
            <w:noWrap/>
            <w:vAlign w:val="bottom"/>
            <w:hideMark/>
          </w:tcPr>
          <w:p w14:paraId="2B8E6BC7" w14:textId="77777777" w:rsidR="006E5119" w:rsidRPr="00F31385" w:rsidRDefault="006E5119" w:rsidP="006E5119">
            <w:pPr>
              <w:jc w:val="both"/>
              <w:rPr>
                <w:rFonts w:eastAsia="Times New Roman"/>
              </w:rPr>
            </w:pPr>
            <w:r w:rsidRPr="00F31385">
              <w:rPr>
                <w:rFonts w:eastAsia="Times New Roman"/>
              </w:rPr>
              <w:t>116,473</w:t>
            </w:r>
          </w:p>
        </w:tc>
        <w:tc>
          <w:tcPr>
            <w:tcW w:w="1329" w:type="dxa"/>
            <w:tcBorders>
              <w:top w:val="nil"/>
              <w:left w:val="nil"/>
              <w:bottom w:val="nil"/>
              <w:right w:val="nil"/>
            </w:tcBorders>
            <w:shd w:val="clear" w:color="auto" w:fill="auto"/>
            <w:noWrap/>
            <w:vAlign w:val="bottom"/>
            <w:hideMark/>
          </w:tcPr>
          <w:p w14:paraId="11C98418" w14:textId="77777777" w:rsidR="006E5119" w:rsidRPr="00F31385" w:rsidRDefault="006E5119" w:rsidP="006E5119">
            <w:pPr>
              <w:jc w:val="both"/>
              <w:rPr>
                <w:rFonts w:eastAsia="Times New Roman"/>
              </w:rPr>
            </w:pPr>
            <w:r w:rsidRPr="00F31385">
              <w:rPr>
                <w:rFonts w:eastAsia="Times New Roman"/>
              </w:rPr>
              <w:t>20,454</w:t>
            </w:r>
          </w:p>
        </w:tc>
        <w:tc>
          <w:tcPr>
            <w:tcW w:w="1969" w:type="dxa"/>
            <w:tcBorders>
              <w:top w:val="nil"/>
              <w:left w:val="nil"/>
              <w:bottom w:val="nil"/>
              <w:right w:val="nil"/>
            </w:tcBorders>
            <w:shd w:val="clear" w:color="auto" w:fill="auto"/>
            <w:noWrap/>
            <w:vAlign w:val="bottom"/>
            <w:hideMark/>
          </w:tcPr>
          <w:p w14:paraId="7ADD352D" w14:textId="77777777" w:rsidR="006E5119" w:rsidRPr="00F31385" w:rsidRDefault="006E5119" w:rsidP="006E5119">
            <w:pPr>
              <w:jc w:val="both"/>
              <w:rPr>
                <w:rFonts w:eastAsia="Times New Roman"/>
              </w:rPr>
            </w:pPr>
            <w:r w:rsidRPr="00F31385">
              <w:rPr>
                <w:rFonts w:eastAsia="Times New Roman"/>
              </w:rPr>
              <w:t>14,933</w:t>
            </w:r>
          </w:p>
        </w:tc>
        <w:tc>
          <w:tcPr>
            <w:tcW w:w="1458" w:type="dxa"/>
            <w:tcBorders>
              <w:top w:val="nil"/>
              <w:left w:val="nil"/>
              <w:bottom w:val="nil"/>
              <w:right w:val="nil"/>
            </w:tcBorders>
            <w:shd w:val="clear" w:color="auto" w:fill="auto"/>
            <w:noWrap/>
            <w:vAlign w:val="bottom"/>
            <w:hideMark/>
          </w:tcPr>
          <w:p w14:paraId="134E02DA" w14:textId="77777777" w:rsidR="006E5119" w:rsidRPr="00F31385" w:rsidRDefault="006E5119" w:rsidP="006E5119">
            <w:pPr>
              <w:jc w:val="both"/>
              <w:rPr>
                <w:rFonts w:eastAsia="Times New Roman"/>
              </w:rPr>
            </w:pPr>
            <w:r w:rsidRPr="00F31385">
              <w:rPr>
                <w:rFonts w:eastAsia="Times New Roman"/>
              </w:rPr>
              <w:t>14,933</w:t>
            </w:r>
          </w:p>
        </w:tc>
      </w:tr>
      <w:tr w:rsidR="006E5119" w:rsidRPr="00F31385" w14:paraId="4E675771" w14:textId="77777777" w:rsidTr="006E5119">
        <w:trPr>
          <w:trHeight w:val="240"/>
        </w:trPr>
        <w:tc>
          <w:tcPr>
            <w:tcW w:w="1331" w:type="dxa"/>
            <w:tcBorders>
              <w:top w:val="nil"/>
              <w:left w:val="nil"/>
              <w:bottom w:val="nil"/>
              <w:right w:val="nil"/>
            </w:tcBorders>
            <w:shd w:val="clear" w:color="auto" w:fill="auto"/>
            <w:noWrap/>
            <w:vAlign w:val="bottom"/>
            <w:hideMark/>
          </w:tcPr>
          <w:p w14:paraId="730D5EA3" w14:textId="77777777" w:rsidR="006E5119" w:rsidRPr="00F31385" w:rsidRDefault="006E5119" w:rsidP="006E5119">
            <w:pPr>
              <w:jc w:val="both"/>
              <w:rPr>
                <w:rFonts w:eastAsia="Times New Roman"/>
              </w:rPr>
            </w:pPr>
            <w:r w:rsidRPr="00F31385">
              <w:rPr>
                <w:rFonts w:eastAsia="Times New Roman"/>
              </w:rPr>
              <w:t>Median</w:t>
            </w:r>
          </w:p>
        </w:tc>
        <w:tc>
          <w:tcPr>
            <w:tcW w:w="1401" w:type="dxa"/>
            <w:tcBorders>
              <w:top w:val="nil"/>
              <w:left w:val="nil"/>
              <w:bottom w:val="nil"/>
              <w:right w:val="nil"/>
            </w:tcBorders>
            <w:shd w:val="clear" w:color="auto" w:fill="auto"/>
            <w:noWrap/>
            <w:vAlign w:val="bottom"/>
            <w:hideMark/>
          </w:tcPr>
          <w:p w14:paraId="62F4942A" w14:textId="77777777" w:rsidR="006E5119" w:rsidRPr="00F31385" w:rsidRDefault="006E5119" w:rsidP="006E5119">
            <w:pPr>
              <w:jc w:val="both"/>
              <w:rPr>
                <w:rFonts w:eastAsia="Times New Roman"/>
              </w:rPr>
            </w:pPr>
            <w:r w:rsidRPr="00F31385">
              <w:rPr>
                <w:rFonts w:eastAsia="Times New Roman"/>
              </w:rPr>
              <w:t>8,159</w:t>
            </w:r>
          </w:p>
        </w:tc>
        <w:tc>
          <w:tcPr>
            <w:tcW w:w="1980" w:type="dxa"/>
            <w:tcBorders>
              <w:top w:val="nil"/>
              <w:left w:val="nil"/>
              <w:bottom w:val="nil"/>
              <w:right w:val="nil"/>
            </w:tcBorders>
            <w:shd w:val="clear" w:color="auto" w:fill="auto"/>
            <w:noWrap/>
            <w:vAlign w:val="bottom"/>
            <w:hideMark/>
          </w:tcPr>
          <w:p w14:paraId="5BE50053" w14:textId="77777777" w:rsidR="006E5119" w:rsidRPr="00F31385" w:rsidRDefault="006E5119" w:rsidP="006E5119">
            <w:pPr>
              <w:jc w:val="both"/>
              <w:rPr>
                <w:rFonts w:eastAsia="Times New Roman"/>
              </w:rPr>
            </w:pPr>
            <w:r w:rsidRPr="00F31385">
              <w:rPr>
                <w:rFonts w:eastAsia="Times New Roman"/>
              </w:rPr>
              <w:t>1,736</w:t>
            </w:r>
          </w:p>
        </w:tc>
        <w:tc>
          <w:tcPr>
            <w:tcW w:w="1329" w:type="dxa"/>
            <w:tcBorders>
              <w:top w:val="nil"/>
              <w:left w:val="nil"/>
              <w:bottom w:val="nil"/>
              <w:right w:val="nil"/>
            </w:tcBorders>
            <w:shd w:val="clear" w:color="auto" w:fill="auto"/>
            <w:noWrap/>
            <w:vAlign w:val="bottom"/>
            <w:hideMark/>
          </w:tcPr>
          <w:p w14:paraId="7B4A4DA9" w14:textId="77777777" w:rsidR="006E5119" w:rsidRPr="00F31385" w:rsidRDefault="006E5119" w:rsidP="006E5119">
            <w:pPr>
              <w:jc w:val="both"/>
              <w:rPr>
                <w:rFonts w:eastAsia="Times New Roman"/>
              </w:rPr>
            </w:pPr>
            <w:r w:rsidRPr="00F31385">
              <w:rPr>
                <w:rFonts w:eastAsia="Times New Roman"/>
              </w:rPr>
              <w:t>320</w:t>
            </w:r>
          </w:p>
        </w:tc>
        <w:tc>
          <w:tcPr>
            <w:tcW w:w="1969" w:type="dxa"/>
            <w:tcBorders>
              <w:top w:val="nil"/>
              <w:left w:val="nil"/>
              <w:bottom w:val="nil"/>
              <w:right w:val="nil"/>
            </w:tcBorders>
            <w:shd w:val="clear" w:color="auto" w:fill="auto"/>
            <w:noWrap/>
            <w:vAlign w:val="bottom"/>
            <w:hideMark/>
          </w:tcPr>
          <w:p w14:paraId="6C92409B" w14:textId="77777777" w:rsidR="006E5119" w:rsidRPr="00F31385" w:rsidRDefault="006E5119" w:rsidP="006E5119">
            <w:pPr>
              <w:jc w:val="both"/>
              <w:rPr>
                <w:rFonts w:eastAsia="Times New Roman"/>
              </w:rPr>
            </w:pPr>
            <w:r w:rsidRPr="00F31385">
              <w:rPr>
                <w:rFonts w:eastAsia="Times New Roman"/>
              </w:rPr>
              <w:t>310</w:t>
            </w:r>
          </w:p>
        </w:tc>
        <w:tc>
          <w:tcPr>
            <w:tcW w:w="1458" w:type="dxa"/>
            <w:tcBorders>
              <w:top w:val="nil"/>
              <w:left w:val="nil"/>
              <w:bottom w:val="nil"/>
              <w:right w:val="nil"/>
            </w:tcBorders>
            <w:shd w:val="clear" w:color="auto" w:fill="auto"/>
            <w:noWrap/>
            <w:vAlign w:val="bottom"/>
            <w:hideMark/>
          </w:tcPr>
          <w:p w14:paraId="41C57005" w14:textId="77777777" w:rsidR="006E5119" w:rsidRPr="00F31385" w:rsidRDefault="006E5119" w:rsidP="006E5119">
            <w:pPr>
              <w:jc w:val="both"/>
              <w:rPr>
                <w:rFonts w:eastAsia="Times New Roman"/>
              </w:rPr>
            </w:pPr>
            <w:r w:rsidRPr="00F31385">
              <w:rPr>
                <w:rFonts w:eastAsia="Times New Roman"/>
              </w:rPr>
              <w:t>310</w:t>
            </w:r>
          </w:p>
        </w:tc>
      </w:tr>
    </w:tbl>
    <w:p w14:paraId="6D926BE8" w14:textId="77777777" w:rsidR="006E5119" w:rsidRPr="00F31385" w:rsidRDefault="006E5119" w:rsidP="006E5119">
      <w:pPr>
        <w:spacing w:before="120"/>
        <w:jc w:val="both"/>
      </w:pPr>
      <w:r w:rsidRPr="00F61312">
        <w:t>Data Source:</w:t>
      </w:r>
      <w:r w:rsidR="00F61312" w:rsidRPr="00F61312">
        <w:t xml:space="preserve"> Ministry of Finance, own calculations</w:t>
      </w:r>
    </w:p>
    <w:p w14:paraId="254285AA" w14:textId="77777777" w:rsidR="006E5119" w:rsidRDefault="006E5119" w:rsidP="006E5119">
      <w:pPr>
        <w:spacing w:before="120"/>
        <w:jc w:val="both"/>
      </w:pPr>
    </w:p>
    <w:p w14:paraId="040E9145" w14:textId="77777777" w:rsidR="006E5119" w:rsidRPr="00F31385" w:rsidRDefault="006E5119" w:rsidP="006E5119">
      <w:pPr>
        <w:spacing w:before="120"/>
        <w:jc w:val="both"/>
      </w:pPr>
      <w:r w:rsidRPr="00F31385">
        <w:t xml:space="preserve">The coefficient of variation for the total tax revenues of local governments may be considered as </w:t>
      </w:r>
      <w:r w:rsidR="00F61312">
        <w:t>rather</w:t>
      </w:r>
      <w:r w:rsidRPr="00F31385">
        <w:t xml:space="preserve"> high at 1.22. Interestingly, collections of small business taxes and cleaning fee seem to have the most even distribution. Per capita distribution of revenues becomes more even for total local government revenues, which indicates that the system of transfers partly ach</w:t>
      </w:r>
      <w:r>
        <w:t>ieves its goals of equalization (see also Figure 4).</w:t>
      </w:r>
      <w:r w:rsidRPr="00F31385">
        <w:t xml:space="preserve"> When looking at local government performance in revenue collection, it becomes clear that the overwhelming majority of own taxes and fees </w:t>
      </w:r>
      <w:proofErr w:type="gramStart"/>
      <w:r w:rsidRPr="00F31385">
        <w:t>is</w:t>
      </w:r>
      <w:proofErr w:type="gramEnd"/>
      <w:r w:rsidRPr="00F31385">
        <w:t xml:space="preserve"> collected in the larger communities. For instance, over 70% of the small business tax and 80% of the cleaning fee </w:t>
      </w:r>
      <w:r w:rsidR="00F61312">
        <w:t xml:space="preserve">in the overall sample </w:t>
      </w:r>
      <w:r w:rsidRPr="00F31385">
        <w:t>is collected in the eight largest localities. However, after the equalization through the unconditional transfer formula income distribution becomes more even as evidenced by the dispersion of local per capita revenues (Table 5).</w:t>
      </w:r>
    </w:p>
    <w:p w14:paraId="3DE7B49F" w14:textId="77777777" w:rsidR="006E5119" w:rsidRPr="00F31385" w:rsidRDefault="00314B3D" w:rsidP="006E5119">
      <w:pPr>
        <w:pStyle w:val="Caption"/>
        <w:keepNext/>
        <w:jc w:val="both"/>
        <w:rPr>
          <w:rFonts w:asciiTheme="minorHAnsi" w:hAnsiTheme="minorHAnsi"/>
        </w:rPr>
      </w:pPr>
      <w:proofErr w:type="gramStart"/>
      <w:r>
        <w:rPr>
          <w:rFonts w:asciiTheme="minorHAnsi" w:hAnsiTheme="minorHAnsi"/>
        </w:rPr>
        <w:t>Table</w:t>
      </w:r>
      <w:r w:rsidR="006E5119" w:rsidRPr="00F31385">
        <w:rPr>
          <w:rFonts w:asciiTheme="minorHAnsi" w:hAnsiTheme="minorHAnsi"/>
        </w:rPr>
        <w:t xml:space="preserv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noProof/>
        </w:rPr>
        <w:t>5</w:t>
      </w:r>
      <w:r>
        <w:rPr>
          <w:rFonts w:asciiTheme="minorHAnsi" w:hAnsiTheme="minorHAnsi"/>
        </w:rPr>
        <w:fldChar w:fldCharType="end"/>
      </w:r>
      <w:r w:rsidR="006E5119" w:rsidRPr="00F31385">
        <w:rPr>
          <w:rFonts w:asciiTheme="minorHAnsi" w:hAnsiTheme="minorHAnsi"/>
        </w:rPr>
        <w:t>.</w:t>
      </w:r>
      <w:proofErr w:type="gramEnd"/>
      <w:r w:rsidR="006E5119" w:rsidRPr="00F31385">
        <w:rPr>
          <w:rFonts w:asciiTheme="minorHAnsi" w:hAnsiTheme="minorHAnsi"/>
        </w:rPr>
        <w:t xml:space="preserve"> Comparison of weight of total</w:t>
      </w:r>
      <w:r w:rsidR="006E5119">
        <w:rPr>
          <w:rFonts w:asciiTheme="minorHAnsi" w:hAnsiTheme="minorHAnsi"/>
        </w:rPr>
        <w:t xml:space="preserve"> </w:t>
      </w:r>
      <w:r w:rsidR="006E5119" w:rsidRPr="00F31385">
        <w:rPr>
          <w:rFonts w:asciiTheme="minorHAnsi" w:hAnsiTheme="minorHAnsi"/>
        </w:rPr>
        <w:t>local government unconditional revenues and per capita revenues</w:t>
      </w:r>
      <w:r w:rsidR="00F61312" w:rsidRPr="00F61312">
        <w:rPr>
          <w:rFonts w:asciiTheme="minorHAnsi" w:hAnsiTheme="minorHAnsi"/>
        </w:rPr>
        <w:t xml:space="preserve"> </w:t>
      </w:r>
      <w:r w:rsidR="00F61312">
        <w:rPr>
          <w:rFonts w:asciiTheme="minorHAnsi" w:hAnsiTheme="minorHAnsi"/>
        </w:rPr>
        <w:t xml:space="preserve">in selected </w:t>
      </w:r>
      <w:r w:rsidR="00F61312" w:rsidRPr="00F31385">
        <w:rPr>
          <w:rFonts w:asciiTheme="minorHAnsi" w:hAnsiTheme="minorHAnsi"/>
        </w:rPr>
        <w:t>sample</w:t>
      </w:r>
    </w:p>
    <w:tbl>
      <w:tblPr>
        <w:tblW w:w="5000" w:type="pct"/>
        <w:tblLook w:val="04A0" w:firstRow="1" w:lastRow="0" w:firstColumn="1" w:lastColumn="0" w:noHBand="0" w:noVBand="1"/>
      </w:tblPr>
      <w:tblGrid>
        <w:gridCol w:w="1170"/>
        <w:gridCol w:w="1189"/>
        <w:gridCol w:w="1127"/>
        <w:gridCol w:w="1159"/>
        <w:gridCol w:w="1159"/>
        <w:gridCol w:w="1161"/>
        <w:gridCol w:w="1161"/>
        <w:gridCol w:w="1450"/>
      </w:tblGrid>
      <w:tr w:rsidR="006E5119" w:rsidRPr="00F31385" w14:paraId="7B23D550" w14:textId="77777777" w:rsidTr="006E5119">
        <w:trPr>
          <w:trHeight w:val="885"/>
        </w:trPr>
        <w:tc>
          <w:tcPr>
            <w:tcW w:w="611" w:type="pct"/>
            <w:tcBorders>
              <w:top w:val="nil"/>
              <w:left w:val="nil"/>
              <w:bottom w:val="nil"/>
              <w:right w:val="nil"/>
            </w:tcBorders>
            <w:shd w:val="clear" w:color="auto" w:fill="auto"/>
            <w:noWrap/>
            <w:vAlign w:val="bottom"/>
            <w:hideMark/>
          </w:tcPr>
          <w:p w14:paraId="7D090635"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Year: 2012</w:t>
            </w:r>
          </w:p>
        </w:tc>
        <w:tc>
          <w:tcPr>
            <w:tcW w:w="621" w:type="pct"/>
            <w:tcBorders>
              <w:top w:val="nil"/>
              <w:left w:val="nil"/>
              <w:bottom w:val="nil"/>
              <w:right w:val="nil"/>
            </w:tcBorders>
            <w:shd w:val="clear" w:color="auto" w:fill="auto"/>
            <w:vAlign w:val="bottom"/>
            <w:hideMark/>
          </w:tcPr>
          <w:p w14:paraId="5E402646"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Population</w:t>
            </w:r>
          </w:p>
        </w:tc>
        <w:tc>
          <w:tcPr>
            <w:tcW w:w="589" w:type="pct"/>
            <w:tcBorders>
              <w:top w:val="nil"/>
              <w:left w:val="nil"/>
              <w:bottom w:val="nil"/>
              <w:right w:val="nil"/>
            </w:tcBorders>
            <w:shd w:val="clear" w:color="auto" w:fill="auto"/>
            <w:vAlign w:val="bottom"/>
            <w:hideMark/>
          </w:tcPr>
          <w:p w14:paraId="5E09318E"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 xml:space="preserve">Total </w:t>
            </w:r>
            <w:proofErr w:type="spellStart"/>
            <w:r w:rsidRPr="00F31385">
              <w:rPr>
                <w:rFonts w:eastAsia="Times New Roman" w:cs="Times New Roman"/>
                <w:color w:val="000000"/>
              </w:rPr>
              <w:t>unc</w:t>
            </w:r>
            <w:proofErr w:type="spellEnd"/>
            <w:r w:rsidRPr="00F31385">
              <w:rPr>
                <w:rFonts w:eastAsia="Times New Roman" w:cs="Times New Roman"/>
                <w:color w:val="000000"/>
              </w:rPr>
              <w:t xml:space="preserve">. </w:t>
            </w:r>
            <w:proofErr w:type="gramStart"/>
            <w:r w:rsidRPr="00F31385">
              <w:rPr>
                <w:rFonts w:eastAsia="Times New Roman" w:cs="Times New Roman"/>
                <w:color w:val="000000"/>
              </w:rPr>
              <w:t>revenue</w:t>
            </w:r>
            <w:proofErr w:type="gramEnd"/>
          </w:p>
        </w:tc>
        <w:tc>
          <w:tcPr>
            <w:tcW w:w="605" w:type="pct"/>
            <w:tcBorders>
              <w:top w:val="nil"/>
              <w:left w:val="nil"/>
              <w:bottom w:val="nil"/>
              <w:right w:val="nil"/>
            </w:tcBorders>
            <w:shd w:val="clear" w:color="auto" w:fill="auto"/>
            <w:vAlign w:val="bottom"/>
            <w:hideMark/>
          </w:tcPr>
          <w:p w14:paraId="21BF0488"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Total tax revenue</w:t>
            </w:r>
          </w:p>
        </w:tc>
        <w:tc>
          <w:tcPr>
            <w:tcW w:w="605" w:type="pct"/>
            <w:tcBorders>
              <w:top w:val="nil"/>
              <w:left w:val="nil"/>
              <w:bottom w:val="nil"/>
              <w:right w:val="nil"/>
            </w:tcBorders>
            <w:shd w:val="clear" w:color="auto" w:fill="auto"/>
            <w:vAlign w:val="bottom"/>
            <w:hideMark/>
          </w:tcPr>
          <w:p w14:paraId="381D971F"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 xml:space="preserve">Total </w:t>
            </w:r>
            <w:proofErr w:type="spellStart"/>
            <w:r w:rsidRPr="00F31385">
              <w:rPr>
                <w:rFonts w:eastAsia="Times New Roman" w:cs="Times New Roman"/>
                <w:color w:val="000000"/>
              </w:rPr>
              <w:t>SBT</w:t>
            </w:r>
            <w:proofErr w:type="spellEnd"/>
          </w:p>
        </w:tc>
        <w:tc>
          <w:tcPr>
            <w:tcW w:w="606" w:type="pct"/>
            <w:tcBorders>
              <w:top w:val="nil"/>
              <w:left w:val="nil"/>
              <w:bottom w:val="nil"/>
              <w:right w:val="nil"/>
            </w:tcBorders>
            <w:shd w:val="clear" w:color="auto" w:fill="auto"/>
            <w:vAlign w:val="bottom"/>
            <w:hideMark/>
          </w:tcPr>
          <w:p w14:paraId="623B3F33"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Total property</w:t>
            </w:r>
          </w:p>
        </w:tc>
        <w:tc>
          <w:tcPr>
            <w:tcW w:w="606" w:type="pct"/>
            <w:tcBorders>
              <w:top w:val="nil"/>
              <w:left w:val="nil"/>
              <w:bottom w:val="nil"/>
              <w:right w:val="nil"/>
            </w:tcBorders>
            <w:shd w:val="clear" w:color="auto" w:fill="auto"/>
            <w:vAlign w:val="bottom"/>
            <w:hideMark/>
          </w:tcPr>
          <w:p w14:paraId="15F4778C"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Total cleaning fee</w:t>
            </w:r>
          </w:p>
        </w:tc>
        <w:tc>
          <w:tcPr>
            <w:tcW w:w="757" w:type="pct"/>
            <w:tcBorders>
              <w:top w:val="nil"/>
              <w:left w:val="nil"/>
              <w:bottom w:val="nil"/>
              <w:right w:val="nil"/>
            </w:tcBorders>
            <w:shd w:val="clear" w:color="auto" w:fill="auto"/>
            <w:vAlign w:val="bottom"/>
            <w:hideMark/>
          </w:tcPr>
          <w:p w14:paraId="5E9AFE8A"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Total unconditional transfer</w:t>
            </w:r>
          </w:p>
        </w:tc>
      </w:tr>
      <w:tr w:rsidR="006E5119" w:rsidRPr="00F31385" w14:paraId="107D05DA" w14:textId="77777777" w:rsidTr="006E5119">
        <w:trPr>
          <w:trHeight w:val="300"/>
        </w:trPr>
        <w:tc>
          <w:tcPr>
            <w:tcW w:w="611" w:type="pct"/>
            <w:tcBorders>
              <w:top w:val="nil"/>
              <w:left w:val="nil"/>
              <w:bottom w:val="nil"/>
              <w:right w:val="nil"/>
            </w:tcBorders>
            <w:shd w:val="clear" w:color="auto" w:fill="auto"/>
            <w:noWrap/>
            <w:vAlign w:val="bottom"/>
            <w:hideMark/>
          </w:tcPr>
          <w:p w14:paraId="28BB4E75"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Tirana</w:t>
            </w:r>
          </w:p>
        </w:tc>
        <w:tc>
          <w:tcPr>
            <w:tcW w:w="621" w:type="pct"/>
            <w:tcBorders>
              <w:top w:val="nil"/>
              <w:left w:val="nil"/>
              <w:bottom w:val="nil"/>
              <w:right w:val="nil"/>
            </w:tcBorders>
            <w:shd w:val="clear" w:color="auto" w:fill="auto"/>
            <w:noWrap/>
            <w:vAlign w:val="bottom"/>
            <w:hideMark/>
          </w:tcPr>
          <w:p w14:paraId="34BDA3AA"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30.1%</w:t>
            </w:r>
          </w:p>
        </w:tc>
        <w:tc>
          <w:tcPr>
            <w:tcW w:w="589" w:type="pct"/>
            <w:tcBorders>
              <w:top w:val="nil"/>
              <w:left w:val="nil"/>
              <w:bottom w:val="nil"/>
              <w:right w:val="nil"/>
            </w:tcBorders>
            <w:shd w:val="clear" w:color="auto" w:fill="auto"/>
            <w:noWrap/>
            <w:vAlign w:val="bottom"/>
            <w:hideMark/>
          </w:tcPr>
          <w:p w14:paraId="6A3C7D55"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34.1%</w:t>
            </w:r>
          </w:p>
        </w:tc>
        <w:tc>
          <w:tcPr>
            <w:tcW w:w="605" w:type="pct"/>
            <w:tcBorders>
              <w:top w:val="nil"/>
              <w:left w:val="nil"/>
              <w:bottom w:val="nil"/>
              <w:right w:val="nil"/>
            </w:tcBorders>
            <w:shd w:val="clear" w:color="auto" w:fill="auto"/>
            <w:noWrap/>
            <w:vAlign w:val="bottom"/>
            <w:hideMark/>
          </w:tcPr>
          <w:p w14:paraId="2DA11825"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43.3%</w:t>
            </w:r>
          </w:p>
        </w:tc>
        <w:tc>
          <w:tcPr>
            <w:tcW w:w="605" w:type="pct"/>
            <w:tcBorders>
              <w:top w:val="nil"/>
              <w:left w:val="nil"/>
              <w:bottom w:val="nil"/>
              <w:right w:val="nil"/>
            </w:tcBorders>
            <w:shd w:val="clear" w:color="auto" w:fill="auto"/>
            <w:noWrap/>
            <w:vAlign w:val="bottom"/>
            <w:hideMark/>
          </w:tcPr>
          <w:p w14:paraId="18281D5C"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48.1%</w:t>
            </w:r>
          </w:p>
        </w:tc>
        <w:tc>
          <w:tcPr>
            <w:tcW w:w="606" w:type="pct"/>
            <w:tcBorders>
              <w:top w:val="nil"/>
              <w:left w:val="nil"/>
              <w:bottom w:val="nil"/>
              <w:right w:val="nil"/>
            </w:tcBorders>
            <w:shd w:val="clear" w:color="auto" w:fill="auto"/>
            <w:noWrap/>
            <w:vAlign w:val="bottom"/>
            <w:hideMark/>
          </w:tcPr>
          <w:p w14:paraId="55FB04B3"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42.8%</w:t>
            </w:r>
          </w:p>
        </w:tc>
        <w:tc>
          <w:tcPr>
            <w:tcW w:w="606" w:type="pct"/>
            <w:tcBorders>
              <w:top w:val="nil"/>
              <w:left w:val="nil"/>
              <w:bottom w:val="nil"/>
              <w:right w:val="nil"/>
            </w:tcBorders>
            <w:shd w:val="clear" w:color="auto" w:fill="auto"/>
            <w:noWrap/>
            <w:vAlign w:val="bottom"/>
            <w:hideMark/>
          </w:tcPr>
          <w:p w14:paraId="19F01C4C"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56.4%</w:t>
            </w:r>
          </w:p>
        </w:tc>
        <w:tc>
          <w:tcPr>
            <w:tcW w:w="757" w:type="pct"/>
            <w:tcBorders>
              <w:top w:val="nil"/>
              <w:left w:val="nil"/>
              <w:bottom w:val="nil"/>
              <w:right w:val="nil"/>
            </w:tcBorders>
            <w:shd w:val="clear" w:color="auto" w:fill="auto"/>
            <w:noWrap/>
            <w:vAlign w:val="bottom"/>
            <w:hideMark/>
          </w:tcPr>
          <w:p w14:paraId="2B7A5E36"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20.5%</w:t>
            </w:r>
          </w:p>
        </w:tc>
      </w:tr>
      <w:tr w:rsidR="006E5119" w:rsidRPr="00F31385" w14:paraId="406EDD49" w14:textId="77777777" w:rsidTr="006E5119">
        <w:trPr>
          <w:trHeight w:val="300"/>
        </w:trPr>
        <w:tc>
          <w:tcPr>
            <w:tcW w:w="611" w:type="pct"/>
            <w:tcBorders>
              <w:top w:val="nil"/>
              <w:left w:val="nil"/>
              <w:bottom w:val="nil"/>
              <w:right w:val="nil"/>
            </w:tcBorders>
            <w:shd w:val="clear" w:color="auto" w:fill="auto"/>
            <w:noWrap/>
            <w:vAlign w:val="bottom"/>
            <w:hideMark/>
          </w:tcPr>
          <w:p w14:paraId="27563392"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7 largest</w:t>
            </w:r>
          </w:p>
        </w:tc>
        <w:tc>
          <w:tcPr>
            <w:tcW w:w="621" w:type="pct"/>
            <w:tcBorders>
              <w:top w:val="nil"/>
              <w:left w:val="nil"/>
              <w:bottom w:val="nil"/>
              <w:right w:val="nil"/>
            </w:tcBorders>
            <w:shd w:val="clear" w:color="auto" w:fill="auto"/>
            <w:noWrap/>
            <w:vAlign w:val="bottom"/>
            <w:hideMark/>
          </w:tcPr>
          <w:p w14:paraId="3105246F"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40.2%</w:t>
            </w:r>
          </w:p>
        </w:tc>
        <w:tc>
          <w:tcPr>
            <w:tcW w:w="589" w:type="pct"/>
            <w:tcBorders>
              <w:top w:val="nil"/>
              <w:left w:val="nil"/>
              <w:bottom w:val="nil"/>
              <w:right w:val="nil"/>
            </w:tcBorders>
            <w:shd w:val="clear" w:color="auto" w:fill="auto"/>
            <w:noWrap/>
            <w:vAlign w:val="bottom"/>
            <w:hideMark/>
          </w:tcPr>
          <w:p w14:paraId="2D53793D"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33.9%</w:t>
            </w:r>
          </w:p>
        </w:tc>
        <w:tc>
          <w:tcPr>
            <w:tcW w:w="605" w:type="pct"/>
            <w:tcBorders>
              <w:top w:val="nil"/>
              <w:left w:val="nil"/>
              <w:bottom w:val="nil"/>
              <w:right w:val="nil"/>
            </w:tcBorders>
            <w:shd w:val="clear" w:color="auto" w:fill="auto"/>
            <w:noWrap/>
            <w:vAlign w:val="bottom"/>
            <w:hideMark/>
          </w:tcPr>
          <w:p w14:paraId="765ED480"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32.4%</w:t>
            </w:r>
          </w:p>
        </w:tc>
        <w:tc>
          <w:tcPr>
            <w:tcW w:w="605" w:type="pct"/>
            <w:tcBorders>
              <w:top w:val="nil"/>
              <w:left w:val="nil"/>
              <w:bottom w:val="nil"/>
              <w:right w:val="nil"/>
            </w:tcBorders>
            <w:shd w:val="clear" w:color="auto" w:fill="auto"/>
            <w:noWrap/>
            <w:vAlign w:val="bottom"/>
            <w:hideMark/>
          </w:tcPr>
          <w:p w14:paraId="2F0B2D4F"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32.8%</w:t>
            </w:r>
          </w:p>
        </w:tc>
        <w:tc>
          <w:tcPr>
            <w:tcW w:w="606" w:type="pct"/>
            <w:tcBorders>
              <w:top w:val="nil"/>
              <w:left w:val="nil"/>
              <w:bottom w:val="nil"/>
              <w:right w:val="nil"/>
            </w:tcBorders>
            <w:shd w:val="clear" w:color="auto" w:fill="auto"/>
            <w:noWrap/>
            <w:vAlign w:val="bottom"/>
            <w:hideMark/>
          </w:tcPr>
          <w:p w14:paraId="5AD5FE73"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31.1%</w:t>
            </w:r>
          </w:p>
        </w:tc>
        <w:tc>
          <w:tcPr>
            <w:tcW w:w="606" w:type="pct"/>
            <w:tcBorders>
              <w:top w:val="nil"/>
              <w:left w:val="nil"/>
              <w:bottom w:val="nil"/>
              <w:right w:val="nil"/>
            </w:tcBorders>
            <w:shd w:val="clear" w:color="auto" w:fill="auto"/>
            <w:noWrap/>
            <w:vAlign w:val="bottom"/>
            <w:hideMark/>
          </w:tcPr>
          <w:p w14:paraId="5E8F57F1"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26.9%</w:t>
            </w:r>
          </w:p>
        </w:tc>
        <w:tc>
          <w:tcPr>
            <w:tcW w:w="757" w:type="pct"/>
            <w:tcBorders>
              <w:top w:val="nil"/>
              <w:left w:val="nil"/>
              <w:bottom w:val="nil"/>
              <w:right w:val="nil"/>
            </w:tcBorders>
            <w:shd w:val="clear" w:color="auto" w:fill="auto"/>
            <w:noWrap/>
            <w:vAlign w:val="bottom"/>
            <w:hideMark/>
          </w:tcPr>
          <w:p w14:paraId="3C2DB468"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43.2%</w:t>
            </w:r>
          </w:p>
        </w:tc>
      </w:tr>
      <w:tr w:rsidR="006E5119" w:rsidRPr="00F31385" w14:paraId="2FE29B1A" w14:textId="77777777" w:rsidTr="006E5119">
        <w:trPr>
          <w:trHeight w:val="300"/>
        </w:trPr>
        <w:tc>
          <w:tcPr>
            <w:tcW w:w="611" w:type="pct"/>
            <w:tcBorders>
              <w:top w:val="nil"/>
              <w:left w:val="nil"/>
              <w:bottom w:val="nil"/>
              <w:right w:val="nil"/>
            </w:tcBorders>
            <w:shd w:val="clear" w:color="auto" w:fill="auto"/>
            <w:noWrap/>
            <w:vAlign w:val="bottom"/>
            <w:hideMark/>
          </w:tcPr>
          <w:p w14:paraId="782C1BBF"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lastRenderedPageBreak/>
              <w:t>Average</w:t>
            </w:r>
            <w:r w:rsidRPr="00F31385">
              <w:rPr>
                <w:rStyle w:val="FootnoteReference"/>
                <w:rFonts w:eastAsia="Times New Roman" w:cs="Times New Roman"/>
                <w:color w:val="000000"/>
              </w:rPr>
              <w:footnoteReference w:id="7"/>
            </w:r>
          </w:p>
        </w:tc>
        <w:tc>
          <w:tcPr>
            <w:tcW w:w="621" w:type="pct"/>
            <w:tcBorders>
              <w:top w:val="nil"/>
              <w:left w:val="nil"/>
              <w:bottom w:val="nil"/>
              <w:right w:val="nil"/>
            </w:tcBorders>
            <w:shd w:val="clear" w:color="auto" w:fill="auto"/>
            <w:noWrap/>
            <w:vAlign w:val="bottom"/>
            <w:hideMark/>
          </w:tcPr>
          <w:p w14:paraId="4F31739C"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24.5%</w:t>
            </w:r>
          </w:p>
        </w:tc>
        <w:tc>
          <w:tcPr>
            <w:tcW w:w="589" w:type="pct"/>
            <w:tcBorders>
              <w:top w:val="nil"/>
              <w:left w:val="nil"/>
              <w:bottom w:val="nil"/>
              <w:right w:val="nil"/>
            </w:tcBorders>
            <w:shd w:val="clear" w:color="auto" w:fill="auto"/>
            <w:noWrap/>
            <w:vAlign w:val="bottom"/>
            <w:hideMark/>
          </w:tcPr>
          <w:p w14:paraId="372D0003"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26.2%</w:t>
            </w:r>
          </w:p>
        </w:tc>
        <w:tc>
          <w:tcPr>
            <w:tcW w:w="605" w:type="pct"/>
            <w:tcBorders>
              <w:top w:val="nil"/>
              <w:left w:val="nil"/>
              <w:bottom w:val="nil"/>
              <w:right w:val="nil"/>
            </w:tcBorders>
            <w:shd w:val="clear" w:color="auto" w:fill="auto"/>
            <w:noWrap/>
            <w:vAlign w:val="bottom"/>
            <w:hideMark/>
          </w:tcPr>
          <w:p w14:paraId="546652D9"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22.6%</w:t>
            </w:r>
          </w:p>
        </w:tc>
        <w:tc>
          <w:tcPr>
            <w:tcW w:w="605" w:type="pct"/>
            <w:tcBorders>
              <w:top w:val="nil"/>
              <w:left w:val="nil"/>
              <w:bottom w:val="nil"/>
              <w:right w:val="nil"/>
            </w:tcBorders>
            <w:shd w:val="clear" w:color="auto" w:fill="auto"/>
            <w:noWrap/>
            <w:vAlign w:val="bottom"/>
            <w:hideMark/>
          </w:tcPr>
          <w:p w14:paraId="74852DEA"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17.8%</w:t>
            </w:r>
          </w:p>
        </w:tc>
        <w:tc>
          <w:tcPr>
            <w:tcW w:w="606" w:type="pct"/>
            <w:tcBorders>
              <w:top w:val="nil"/>
              <w:left w:val="nil"/>
              <w:bottom w:val="nil"/>
              <w:right w:val="nil"/>
            </w:tcBorders>
            <w:shd w:val="clear" w:color="auto" w:fill="auto"/>
            <w:noWrap/>
            <w:vAlign w:val="bottom"/>
            <w:hideMark/>
          </w:tcPr>
          <w:p w14:paraId="343F571B"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22.1%</w:t>
            </w:r>
          </w:p>
        </w:tc>
        <w:tc>
          <w:tcPr>
            <w:tcW w:w="606" w:type="pct"/>
            <w:tcBorders>
              <w:top w:val="nil"/>
              <w:left w:val="nil"/>
              <w:bottom w:val="nil"/>
              <w:right w:val="nil"/>
            </w:tcBorders>
            <w:shd w:val="clear" w:color="auto" w:fill="auto"/>
            <w:noWrap/>
            <w:vAlign w:val="bottom"/>
            <w:hideMark/>
          </w:tcPr>
          <w:p w14:paraId="7CFD6C44"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15.4%</w:t>
            </w:r>
          </w:p>
        </w:tc>
        <w:tc>
          <w:tcPr>
            <w:tcW w:w="757" w:type="pct"/>
            <w:tcBorders>
              <w:top w:val="nil"/>
              <w:left w:val="nil"/>
              <w:bottom w:val="nil"/>
              <w:right w:val="nil"/>
            </w:tcBorders>
            <w:shd w:val="clear" w:color="auto" w:fill="auto"/>
            <w:noWrap/>
            <w:vAlign w:val="bottom"/>
            <w:hideMark/>
          </w:tcPr>
          <w:p w14:paraId="212F5528"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29.0%</w:t>
            </w:r>
          </w:p>
        </w:tc>
      </w:tr>
      <w:tr w:rsidR="006E5119" w:rsidRPr="00F31385" w14:paraId="42FA675E" w14:textId="77777777" w:rsidTr="006E5119">
        <w:trPr>
          <w:trHeight w:val="300"/>
        </w:trPr>
        <w:tc>
          <w:tcPr>
            <w:tcW w:w="611" w:type="pct"/>
            <w:tcBorders>
              <w:top w:val="nil"/>
              <w:left w:val="nil"/>
              <w:bottom w:val="nil"/>
              <w:right w:val="nil"/>
            </w:tcBorders>
            <w:shd w:val="clear" w:color="auto" w:fill="auto"/>
            <w:noWrap/>
            <w:vAlign w:val="bottom"/>
            <w:hideMark/>
          </w:tcPr>
          <w:p w14:paraId="2364F76F"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Small</w:t>
            </w:r>
          </w:p>
        </w:tc>
        <w:tc>
          <w:tcPr>
            <w:tcW w:w="621" w:type="pct"/>
            <w:tcBorders>
              <w:top w:val="nil"/>
              <w:left w:val="nil"/>
              <w:bottom w:val="nil"/>
              <w:right w:val="nil"/>
            </w:tcBorders>
            <w:shd w:val="clear" w:color="auto" w:fill="auto"/>
            <w:noWrap/>
            <w:vAlign w:val="bottom"/>
            <w:hideMark/>
          </w:tcPr>
          <w:p w14:paraId="73751FA2"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5.3%</w:t>
            </w:r>
          </w:p>
        </w:tc>
        <w:tc>
          <w:tcPr>
            <w:tcW w:w="589" w:type="pct"/>
            <w:tcBorders>
              <w:top w:val="nil"/>
              <w:left w:val="nil"/>
              <w:bottom w:val="nil"/>
              <w:right w:val="nil"/>
            </w:tcBorders>
            <w:shd w:val="clear" w:color="auto" w:fill="auto"/>
            <w:noWrap/>
            <w:vAlign w:val="bottom"/>
            <w:hideMark/>
          </w:tcPr>
          <w:p w14:paraId="6F4B8089"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5.9%</w:t>
            </w:r>
          </w:p>
        </w:tc>
        <w:tc>
          <w:tcPr>
            <w:tcW w:w="605" w:type="pct"/>
            <w:tcBorders>
              <w:top w:val="nil"/>
              <w:left w:val="nil"/>
              <w:bottom w:val="nil"/>
              <w:right w:val="nil"/>
            </w:tcBorders>
            <w:shd w:val="clear" w:color="auto" w:fill="auto"/>
            <w:noWrap/>
            <w:vAlign w:val="bottom"/>
            <w:hideMark/>
          </w:tcPr>
          <w:p w14:paraId="3E8EFD2F"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1.7%</w:t>
            </w:r>
          </w:p>
        </w:tc>
        <w:tc>
          <w:tcPr>
            <w:tcW w:w="605" w:type="pct"/>
            <w:tcBorders>
              <w:top w:val="nil"/>
              <w:left w:val="nil"/>
              <w:bottom w:val="nil"/>
              <w:right w:val="nil"/>
            </w:tcBorders>
            <w:shd w:val="clear" w:color="auto" w:fill="auto"/>
            <w:noWrap/>
            <w:vAlign w:val="bottom"/>
            <w:hideMark/>
          </w:tcPr>
          <w:p w14:paraId="0E93BFD4"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1.4%</w:t>
            </w:r>
          </w:p>
        </w:tc>
        <w:tc>
          <w:tcPr>
            <w:tcW w:w="606" w:type="pct"/>
            <w:tcBorders>
              <w:top w:val="nil"/>
              <w:left w:val="nil"/>
              <w:bottom w:val="nil"/>
              <w:right w:val="nil"/>
            </w:tcBorders>
            <w:shd w:val="clear" w:color="auto" w:fill="auto"/>
            <w:noWrap/>
            <w:vAlign w:val="bottom"/>
            <w:hideMark/>
          </w:tcPr>
          <w:p w14:paraId="5532F3FE"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3.9%</w:t>
            </w:r>
          </w:p>
        </w:tc>
        <w:tc>
          <w:tcPr>
            <w:tcW w:w="606" w:type="pct"/>
            <w:tcBorders>
              <w:top w:val="nil"/>
              <w:left w:val="nil"/>
              <w:bottom w:val="nil"/>
              <w:right w:val="nil"/>
            </w:tcBorders>
            <w:shd w:val="clear" w:color="auto" w:fill="auto"/>
            <w:noWrap/>
            <w:vAlign w:val="bottom"/>
            <w:hideMark/>
          </w:tcPr>
          <w:p w14:paraId="1EC73828"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1.3%</w:t>
            </w:r>
          </w:p>
        </w:tc>
        <w:tc>
          <w:tcPr>
            <w:tcW w:w="757" w:type="pct"/>
            <w:tcBorders>
              <w:top w:val="nil"/>
              <w:left w:val="nil"/>
              <w:bottom w:val="nil"/>
              <w:right w:val="nil"/>
            </w:tcBorders>
            <w:shd w:val="clear" w:color="auto" w:fill="auto"/>
            <w:noWrap/>
            <w:vAlign w:val="bottom"/>
            <w:hideMark/>
          </w:tcPr>
          <w:p w14:paraId="5BC22B0D"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7.3%</w:t>
            </w:r>
          </w:p>
        </w:tc>
      </w:tr>
      <w:tr w:rsidR="006E5119" w:rsidRPr="00F31385" w14:paraId="1BFE76BD" w14:textId="77777777" w:rsidTr="006E5119">
        <w:trPr>
          <w:trHeight w:val="300"/>
        </w:trPr>
        <w:tc>
          <w:tcPr>
            <w:tcW w:w="611" w:type="pct"/>
            <w:tcBorders>
              <w:top w:val="nil"/>
              <w:left w:val="nil"/>
              <w:bottom w:val="nil"/>
              <w:right w:val="nil"/>
            </w:tcBorders>
            <w:shd w:val="clear" w:color="auto" w:fill="auto"/>
            <w:noWrap/>
            <w:vAlign w:val="bottom"/>
            <w:hideMark/>
          </w:tcPr>
          <w:p w14:paraId="1B5C4C3B" w14:textId="77777777" w:rsidR="006E5119" w:rsidRPr="00F31385" w:rsidRDefault="006E5119" w:rsidP="006E5119">
            <w:pPr>
              <w:spacing w:after="0"/>
              <w:jc w:val="both"/>
              <w:rPr>
                <w:rFonts w:eastAsia="Times New Roman" w:cs="Times New Roman"/>
                <w:color w:val="000000"/>
              </w:rPr>
            </w:pPr>
          </w:p>
        </w:tc>
        <w:tc>
          <w:tcPr>
            <w:tcW w:w="621" w:type="pct"/>
            <w:tcBorders>
              <w:top w:val="nil"/>
              <w:left w:val="nil"/>
              <w:bottom w:val="nil"/>
              <w:right w:val="nil"/>
            </w:tcBorders>
            <w:shd w:val="clear" w:color="auto" w:fill="auto"/>
            <w:noWrap/>
            <w:vAlign w:val="bottom"/>
            <w:hideMark/>
          </w:tcPr>
          <w:p w14:paraId="3EE5270F" w14:textId="77777777" w:rsidR="006E5119" w:rsidRPr="00F31385" w:rsidRDefault="006E5119" w:rsidP="006E5119">
            <w:pPr>
              <w:spacing w:after="0"/>
              <w:jc w:val="both"/>
              <w:rPr>
                <w:rFonts w:eastAsia="Times New Roman" w:cs="Times New Roman"/>
                <w:color w:val="000000"/>
              </w:rPr>
            </w:pPr>
          </w:p>
        </w:tc>
        <w:tc>
          <w:tcPr>
            <w:tcW w:w="589" w:type="pct"/>
            <w:tcBorders>
              <w:top w:val="nil"/>
              <w:left w:val="nil"/>
              <w:bottom w:val="nil"/>
              <w:right w:val="nil"/>
            </w:tcBorders>
            <w:shd w:val="clear" w:color="auto" w:fill="auto"/>
            <w:noWrap/>
            <w:vAlign w:val="bottom"/>
            <w:hideMark/>
          </w:tcPr>
          <w:p w14:paraId="78184A0E" w14:textId="77777777" w:rsidR="006E5119" w:rsidRPr="00F31385" w:rsidRDefault="006E5119" w:rsidP="006E5119">
            <w:pPr>
              <w:spacing w:after="0"/>
              <w:jc w:val="both"/>
              <w:rPr>
                <w:rFonts w:eastAsia="Times New Roman" w:cs="Times New Roman"/>
                <w:color w:val="000000"/>
              </w:rPr>
            </w:pPr>
          </w:p>
        </w:tc>
        <w:tc>
          <w:tcPr>
            <w:tcW w:w="605" w:type="pct"/>
            <w:tcBorders>
              <w:top w:val="nil"/>
              <w:left w:val="nil"/>
              <w:bottom w:val="nil"/>
              <w:right w:val="nil"/>
            </w:tcBorders>
            <w:shd w:val="clear" w:color="auto" w:fill="auto"/>
            <w:noWrap/>
            <w:vAlign w:val="bottom"/>
            <w:hideMark/>
          </w:tcPr>
          <w:p w14:paraId="56DDF298" w14:textId="77777777" w:rsidR="006E5119" w:rsidRPr="00F31385" w:rsidRDefault="006E5119" w:rsidP="006E5119">
            <w:pPr>
              <w:spacing w:after="0"/>
              <w:jc w:val="both"/>
              <w:rPr>
                <w:rFonts w:eastAsia="Times New Roman" w:cs="Times New Roman"/>
                <w:color w:val="000000"/>
              </w:rPr>
            </w:pPr>
          </w:p>
        </w:tc>
        <w:tc>
          <w:tcPr>
            <w:tcW w:w="605" w:type="pct"/>
            <w:tcBorders>
              <w:top w:val="nil"/>
              <w:left w:val="nil"/>
              <w:bottom w:val="nil"/>
              <w:right w:val="nil"/>
            </w:tcBorders>
            <w:shd w:val="clear" w:color="auto" w:fill="auto"/>
            <w:noWrap/>
            <w:vAlign w:val="bottom"/>
            <w:hideMark/>
          </w:tcPr>
          <w:p w14:paraId="1BB0A6A2" w14:textId="77777777" w:rsidR="006E5119" w:rsidRPr="00F31385" w:rsidRDefault="006E5119" w:rsidP="006E5119">
            <w:pPr>
              <w:spacing w:after="0"/>
              <w:jc w:val="both"/>
              <w:rPr>
                <w:rFonts w:eastAsia="Times New Roman" w:cs="Times New Roman"/>
                <w:color w:val="000000"/>
              </w:rPr>
            </w:pPr>
          </w:p>
        </w:tc>
        <w:tc>
          <w:tcPr>
            <w:tcW w:w="606" w:type="pct"/>
            <w:tcBorders>
              <w:top w:val="nil"/>
              <w:left w:val="nil"/>
              <w:bottom w:val="nil"/>
              <w:right w:val="nil"/>
            </w:tcBorders>
            <w:shd w:val="clear" w:color="auto" w:fill="auto"/>
            <w:noWrap/>
            <w:vAlign w:val="bottom"/>
            <w:hideMark/>
          </w:tcPr>
          <w:p w14:paraId="62F56087" w14:textId="77777777" w:rsidR="006E5119" w:rsidRPr="00F31385" w:rsidRDefault="006E5119" w:rsidP="006E5119">
            <w:pPr>
              <w:spacing w:after="0"/>
              <w:jc w:val="both"/>
              <w:rPr>
                <w:rFonts w:eastAsia="Times New Roman" w:cs="Times New Roman"/>
                <w:color w:val="000000"/>
              </w:rPr>
            </w:pPr>
          </w:p>
        </w:tc>
        <w:tc>
          <w:tcPr>
            <w:tcW w:w="606" w:type="pct"/>
            <w:tcBorders>
              <w:top w:val="nil"/>
              <w:left w:val="nil"/>
              <w:bottom w:val="nil"/>
              <w:right w:val="nil"/>
            </w:tcBorders>
            <w:shd w:val="clear" w:color="auto" w:fill="auto"/>
            <w:noWrap/>
            <w:vAlign w:val="bottom"/>
            <w:hideMark/>
          </w:tcPr>
          <w:p w14:paraId="7A850669" w14:textId="77777777" w:rsidR="006E5119" w:rsidRPr="00F31385" w:rsidRDefault="006E5119" w:rsidP="006E5119">
            <w:pPr>
              <w:spacing w:after="0"/>
              <w:jc w:val="both"/>
              <w:rPr>
                <w:rFonts w:eastAsia="Times New Roman" w:cs="Times New Roman"/>
                <w:color w:val="000000"/>
              </w:rPr>
            </w:pPr>
          </w:p>
        </w:tc>
        <w:tc>
          <w:tcPr>
            <w:tcW w:w="757" w:type="pct"/>
            <w:tcBorders>
              <w:top w:val="nil"/>
              <w:left w:val="nil"/>
              <w:bottom w:val="nil"/>
              <w:right w:val="nil"/>
            </w:tcBorders>
            <w:shd w:val="clear" w:color="auto" w:fill="auto"/>
            <w:noWrap/>
            <w:vAlign w:val="bottom"/>
            <w:hideMark/>
          </w:tcPr>
          <w:p w14:paraId="5C53F582" w14:textId="77777777" w:rsidR="006E5119" w:rsidRPr="00F31385" w:rsidRDefault="006E5119" w:rsidP="006E5119">
            <w:pPr>
              <w:spacing w:after="0"/>
              <w:jc w:val="both"/>
              <w:rPr>
                <w:rFonts w:eastAsia="Times New Roman" w:cs="Times New Roman"/>
                <w:color w:val="000000"/>
              </w:rPr>
            </w:pPr>
          </w:p>
        </w:tc>
      </w:tr>
      <w:tr w:rsidR="006E5119" w:rsidRPr="00F31385" w14:paraId="0C505737" w14:textId="77777777" w:rsidTr="006E5119">
        <w:trPr>
          <w:trHeight w:val="300"/>
        </w:trPr>
        <w:tc>
          <w:tcPr>
            <w:tcW w:w="1232" w:type="pct"/>
            <w:gridSpan w:val="2"/>
            <w:tcBorders>
              <w:top w:val="nil"/>
              <w:left w:val="nil"/>
              <w:bottom w:val="nil"/>
              <w:right w:val="nil"/>
            </w:tcBorders>
            <w:shd w:val="clear" w:color="auto" w:fill="auto"/>
            <w:noWrap/>
            <w:vAlign w:val="bottom"/>
            <w:hideMark/>
          </w:tcPr>
          <w:p w14:paraId="0C1DE377"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Per capita indicators</w:t>
            </w:r>
          </w:p>
        </w:tc>
        <w:tc>
          <w:tcPr>
            <w:tcW w:w="589" w:type="pct"/>
            <w:tcBorders>
              <w:top w:val="nil"/>
              <w:left w:val="nil"/>
              <w:bottom w:val="nil"/>
              <w:right w:val="nil"/>
            </w:tcBorders>
            <w:shd w:val="clear" w:color="auto" w:fill="auto"/>
            <w:noWrap/>
            <w:vAlign w:val="bottom"/>
            <w:hideMark/>
          </w:tcPr>
          <w:p w14:paraId="71AC058C" w14:textId="77777777" w:rsidR="006E5119" w:rsidRPr="00F31385" w:rsidRDefault="006E5119" w:rsidP="006E5119">
            <w:pPr>
              <w:spacing w:after="0"/>
              <w:jc w:val="both"/>
              <w:rPr>
                <w:rFonts w:eastAsia="Times New Roman" w:cs="Times New Roman"/>
                <w:color w:val="000000"/>
              </w:rPr>
            </w:pPr>
          </w:p>
        </w:tc>
        <w:tc>
          <w:tcPr>
            <w:tcW w:w="605" w:type="pct"/>
            <w:tcBorders>
              <w:top w:val="nil"/>
              <w:left w:val="nil"/>
              <w:bottom w:val="nil"/>
              <w:right w:val="nil"/>
            </w:tcBorders>
            <w:shd w:val="clear" w:color="auto" w:fill="auto"/>
            <w:noWrap/>
            <w:vAlign w:val="bottom"/>
            <w:hideMark/>
          </w:tcPr>
          <w:p w14:paraId="6F5DCA56" w14:textId="77777777" w:rsidR="006E5119" w:rsidRPr="00F31385" w:rsidRDefault="006E5119" w:rsidP="006E5119">
            <w:pPr>
              <w:spacing w:after="0"/>
              <w:jc w:val="both"/>
              <w:rPr>
                <w:rFonts w:eastAsia="Times New Roman" w:cs="Times New Roman"/>
                <w:color w:val="000000"/>
              </w:rPr>
            </w:pPr>
          </w:p>
        </w:tc>
        <w:tc>
          <w:tcPr>
            <w:tcW w:w="605" w:type="pct"/>
            <w:tcBorders>
              <w:top w:val="nil"/>
              <w:left w:val="nil"/>
              <w:bottom w:val="nil"/>
              <w:right w:val="nil"/>
            </w:tcBorders>
            <w:shd w:val="clear" w:color="auto" w:fill="auto"/>
            <w:noWrap/>
            <w:vAlign w:val="bottom"/>
            <w:hideMark/>
          </w:tcPr>
          <w:p w14:paraId="7C283675" w14:textId="77777777" w:rsidR="006E5119" w:rsidRPr="00F31385" w:rsidRDefault="006E5119" w:rsidP="006E5119">
            <w:pPr>
              <w:spacing w:after="0"/>
              <w:jc w:val="both"/>
              <w:rPr>
                <w:rFonts w:eastAsia="Times New Roman" w:cs="Times New Roman"/>
                <w:color w:val="000000"/>
              </w:rPr>
            </w:pPr>
          </w:p>
        </w:tc>
        <w:tc>
          <w:tcPr>
            <w:tcW w:w="606" w:type="pct"/>
            <w:tcBorders>
              <w:top w:val="nil"/>
              <w:left w:val="nil"/>
              <w:bottom w:val="nil"/>
              <w:right w:val="nil"/>
            </w:tcBorders>
            <w:shd w:val="clear" w:color="auto" w:fill="auto"/>
            <w:noWrap/>
            <w:vAlign w:val="bottom"/>
            <w:hideMark/>
          </w:tcPr>
          <w:p w14:paraId="2DBE1207" w14:textId="77777777" w:rsidR="006E5119" w:rsidRPr="00F31385" w:rsidRDefault="006E5119" w:rsidP="006E5119">
            <w:pPr>
              <w:spacing w:after="0"/>
              <w:jc w:val="both"/>
              <w:rPr>
                <w:rFonts w:eastAsia="Times New Roman" w:cs="Times New Roman"/>
                <w:color w:val="000000"/>
              </w:rPr>
            </w:pPr>
          </w:p>
        </w:tc>
        <w:tc>
          <w:tcPr>
            <w:tcW w:w="606" w:type="pct"/>
            <w:tcBorders>
              <w:top w:val="nil"/>
              <w:left w:val="nil"/>
              <w:bottom w:val="nil"/>
              <w:right w:val="nil"/>
            </w:tcBorders>
            <w:shd w:val="clear" w:color="auto" w:fill="auto"/>
            <w:noWrap/>
            <w:vAlign w:val="bottom"/>
            <w:hideMark/>
          </w:tcPr>
          <w:p w14:paraId="6FC66331" w14:textId="77777777" w:rsidR="006E5119" w:rsidRPr="00F31385" w:rsidRDefault="006E5119" w:rsidP="006E5119">
            <w:pPr>
              <w:spacing w:after="0"/>
              <w:jc w:val="both"/>
              <w:rPr>
                <w:rFonts w:eastAsia="Times New Roman" w:cs="Times New Roman"/>
                <w:color w:val="000000"/>
              </w:rPr>
            </w:pPr>
          </w:p>
        </w:tc>
        <w:tc>
          <w:tcPr>
            <w:tcW w:w="757" w:type="pct"/>
            <w:tcBorders>
              <w:top w:val="nil"/>
              <w:left w:val="nil"/>
              <w:bottom w:val="nil"/>
              <w:right w:val="nil"/>
            </w:tcBorders>
            <w:shd w:val="clear" w:color="auto" w:fill="auto"/>
            <w:noWrap/>
            <w:vAlign w:val="bottom"/>
            <w:hideMark/>
          </w:tcPr>
          <w:p w14:paraId="28D84809" w14:textId="77777777" w:rsidR="006E5119" w:rsidRPr="00F31385" w:rsidRDefault="006E5119" w:rsidP="006E5119">
            <w:pPr>
              <w:spacing w:after="0"/>
              <w:jc w:val="both"/>
              <w:rPr>
                <w:rFonts w:eastAsia="Times New Roman" w:cs="Times New Roman"/>
                <w:color w:val="000000"/>
              </w:rPr>
            </w:pPr>
          </w:p>
        </w:tc>
      </w:tr>
      <w:tr w:rsidR="006E5119" w:rsidRPr="00F31385" w14:paraId="2786284C" w14:textId="77777777" w:rsidTr="006E5119">
        <w:trPr>
          <w:trHeight w:val="300"/>
        </w:trPr>
        <w:tc>
          <w:tcPr>
            <w:tcW w:w="611" w:type="pct"/>
            <w:tcBorders>
              <w:top w:val="nil"/>
              <w:left w:val="nil"/>
              <w:bottom w:val="nil"/>
              <w:right w:val="nil"/>
            </w:tcBorders>
            <w:shd w:val="clear" w:color="auto" w:fill="auto"/>
            <w:noWrap/>
            <w:vAlign w:val="bottom"/>
            <w:hideMark/>
          </w:tcPr>
          <w:p w14:paraId="012E9993"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Tirana</w:t>
            </w:r>
          </w:p>
        </w:tc>
        <w:tc>
          <w:tcPr>
            <w:tcW w:w="621" w:type="pct"/>
            <w:tcBorders>
              <w:top w:val="nil"/>
              <w:left w:val="nil"/>
              <w:bottom w:val="nil"/>
              <w:right w:val="nil"/>
            </w:tcBorders>
            <w:shd w:val="clear" w:color="auto" w:fill="auto"/>
            <w:noWrap/>
            <w:vAlign w:val="bottom"/>
            <w:hideMark/>
          </w:tcPr>
          <w:p w14:paraId="73C63F8A" w14:textId="77777777" w:rsidR="006E5119" w:rsidRPr="00F31385" w:rsidRDefault="006E5119" w:rsidP="006E5119">
            <w:pPr>
              <w:spacing w:after="0"/>
              <w:jc w:val="both"/>
              <w:rPr>
                <w:rFonts w:eastAsia="Times New Roman" w:cs="Times New Roman"/>
                <w:color w:val="000000"/>
              </w:rPr>
            </w:pPr>
          </w:p>
        </w:tc>
        <w:tc>
          <w:tcPr>
            <w:tcW w:w="589" w:type="pct"/>
            <w:tcBorders>
              <w:top w:val="nil"/>
              <w:left w:val="nil"/>
              <w:bottom w:val="nil"/>
              <w:right w:val="nil"/>
            </w:tcBorders>
            <w:shd w:val="clear" w:color="auto" w:fill="auto"/>
            <w:noWrap/>
            <w:vAlign w:val="bottom"/>
            <w:hideMark/>
          </w:tcPr>
          <w:p w14:paraId="1780989B"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8,541</w:t>
            </w:r>
          </w:p>
        </w:tc>
        <w:tc>
          <w:tcPr>
            <w:tcW w:w="605" w:type="pct"/>
            <w:tcBorders>
              <w:top w:val="nil"/>
              <w:left w:val="nil"/>
              <w:bottom w:val="nil"/>
              <w:right w:val="nil"/>
            </w:tcBorders>
            <w:shd w:val="clear" w:color="auto" w:fill="auto"/>
            <w:noWrap/>
            <w:vAlign w:val="bottom"/>
            <w:hideMark/>
          </w:tcPr>
          <w:p w14:paraId="3B6B40E9"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5,287</w:t>
            </w:r>
          </w:p>
        </w:tc>
        <w:tc>
          <w:tcPr>
            <w:tcW w:w="605" w:type="pct"/>
            <w:tcBorders>
              <w:top w:val="nil"/>
              <w:left w:val="nil"/>
              <w:bottom w:val="nil"/>
              <w:right w:val="nil"/>
            </w:tcBorders>
            <w:shd w:val="clear" w:color="auto" w:fill="auto"/>
            <w:noWrap/>
            <w:vAlign w:val="bottom"/>
            <w:hideMark/>
          </w:tcPr>
          <w:p w14:paraId="1CA5F2E1"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1,399</w:t>
            </w:r>
          </w:p>
        </w:tc>
        <w:tc>
          <w:tcPr>
            <w:tcW w:w="606" w:type="pct"/>
            <w:tcBorders>
              <w:top w:val="nil"/>
              <w:left w:val="nil"/>
              <w:bottom w:val="nil"/>
              <w:right w:val="nil"/>
            </w:tcBorders>
            <w:shd w:val="clear" w:color="auto" w:fill="auto"/>
            <w:noWrap/>
            <w:vAlign w:val="bottom"/>
            <w:hideMark/>
          </w:tcPr>
          <w:p w14:paraId="2563591D"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737</w:t>
            </w:r>
          </w:p>
        </w:tc>
        <w:tc>
          <w:tcPr>
            <w:tcW w:w="606" w:type="pct"/>
            <w:tcBorders>
              <w:top w:val="nil"/>
              <w:left w:val="nil"/>
              <w:bottom w:val="nil"/>
              <w:right w:val="nil"/>
            </w:tcBorders>
            <w:shd w:val="clear" w:color="auto" w:fill="auto"/>
            <w:noWrap/>
            <w:vAlign w:val="bottom"/>
            <w:hideMark/>
          </w:tcPr>
          <w:p w14:paraId="6F5E69ED"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1,203</w:t>
            </w:r>
          </w:p>
        </w:tc>
        <w:tc>
          <w:tcPr>
            <w:tcW w:w="757" w:type="pct"/>
            <w:tcBorders>
              <w:top w:val="nil"/>
              <w:left w:val="nil"/>
              <w:bottom w:val="nil"/>
              <w:right w:val="nil"/>
            </w:tcBorders>
            <w:shd w:val="clear" w:color="auto" w:fill="auto"/>
            <w:noWrap/>
            <w:vAlign w:val="bottom"/>
            <w:hideMark/>
          </w:tcPr>
          <w:p w14:paraId="14129260"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1,438</w:t>
            </w:r>
          </w:p>
        </w:tc>
      </w:tr>
      <w:tr w:rsidR="006E5119" w:rsidRPr="00F31385" w14:paraId="38FEC0D4" w14:textId="77777777" w:rsidTr="006E5119">
        <w:trPr>
          <w:trHeight w:val="300"/>
        </w:trPr>
        <w:tc>
          <w:tcPr>
            <w:tcW w:w="611" w:type="pct"/>
            <w:tcBorders>
              <w:top w:val="nil"/>
              <w:left w:val="nil"/>
              <w:bottom w:val="nil"/>
              <w:right w:val="nil"/>
            </w:tcBorders>
            <w:shd w:val="clear" w:color="auto" w:fill="auto"/>
            <w:noWrap/>
            <w:vAlign w:val="bottom"/>
            <w:hideMark/>
          </w:tcPr>
          <w:p w14:paraId="60C4A0A8"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7 largest</w:t>
            </w:r>
          </w:p>
        </w:tc>
        <w:tc>
          <w:tcPr>
            <w:tcW w:w="621" w:type="pct"/>
            <w:tcBorders>
              <w:top w:val="nil"/>
              <w:left w:val="nil"/>
              <w:bottom w:val="nil"/>
              <w:right w:val="nil"/>
            </w:tcBorders>
            <w:shd w:val="clear" w:color="auto" w:fill="auto"/>
            <w:noWrap/>
            <w:vAlign w:val="bottom"/>
            <w:hideMark/>
          </w:tcPr>
          <w:p w14:paraId="72543DF2" w14:textId="77777777" w:rsidR="006E5119" w:rsidRPr="00F31385" w:rsidRDefault="006E5119" w:rsidP="006E5119">
            <w:pPr>
              <w:spacing w:after="0"/>
              <w:jc w:val="both"/>
              <w:rPr>
                <w:rFonts w:eastAsia="Times New Roman" w:cs="Times New Roman"/>
                <w:color w:val="000000"/>
              </w:rPr>
            </w:pPr>
          </w:p>
        </w:tc>
        <w:tc>
          <w:tcPr>
            <w:tcW w:w="589" w:type="pct"/>
            <w:tcBorders>
              <w:top w:val="nil"/>
              <w:left w:val="nil"/>
              <w:bottom w:val="nil"/>
              <w:right w:val="nil"/>
            </w:tcBorders>
            <w:shd w:val="clear" w:color="auto" w:fill="auto"/>
            <w:noWrap/>
            <w:vAlign w:val="bottom"/>
            <w:hideMark/>
          </w:tcPr>
          <w:p w14:paraId="24D962DA"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6,366</w:t>
            </w:r>
          </w:p>
        </w:tc>
        <w:tc>
          <w:tcPr>
            <w:tcW w:w="605" w:type="pct"/>
            <w:tcBorders>
              <w:top w:val="nil"/>
              <w:left w:val="nil"/>
              <w:bottom w:val="nil"/>
              <w:right w:val="nil"/>
            </w:tcBorders>
            <w:shd w:val="clear" w:color="auto" w:fill="auto"/>
            <w:noWrap/>
            <w:vAlign w:val="bottom"/>
            <w:hideMark/>
          </w:tcPr>
          <w:p w14:paraId="42B21B70"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2,965</w:t>
            </w:r>
          </w:p>
        </w:tc>
        <w:tc>
          <w:tcPr>
            <w:tcW w:w="605" w:type="pct"/>
            <w:tcBorders>
              <w:top w:val="nil"/>
              <w:left w:val="nil"/>
              <w:bottom w:val="nil"/>
              <w:right w:val="nil"/>
            </w:tcBorders>
            <w:shd w:val="clear" w:color="auto" w:fill="auto"/>
            <w:noWrap/>
            <w:vAlign w:val="bottom"/>
            <w:hideMark/>
          </w:tcPr>
          <w:p w14:paraId="45D37426"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715</w:t>
            </w:r>
          </w:p>
        </w:tc>
        <w:tc>
          <w:tcPr>
            <w:tcW w:w="606" w:type="pct"/>
            <w:tcBorders>
              <w:top w:val="nil"/>
              <w:left w:val="nil"/>
              <w:bottom w:val="nil"/>
              <w:right w:val="nil"/>
            </w:tcBorders>
            <w:shd w:val="clear" w:color="auto" w:fill="auto"/>
            <w:noWrap/>
            <w:vAlign w:val="bottom"/>
            <w:hideMark/>
          </w:tcPr>
          <w:p w14:paraId="5C1BB530"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401</w:t>
            </w:r>
          </w:p>
        </w:tc>
        <w:tc>
          <w:tcPr>
            <w:tcW w:w="606" w:type="pct"/>
            <w:tcBorders>
              <w:top w:val="nil"/>
              <w:left w:val="nil"/>
              <w:bottom w:val="nil"/>
              <w:right w:val="nil"/>
            </w:tcBorders>
            <w:shd w:val="clear" w:color="auto" w:fill="auto"/>
            <w:noWrap/>
            <w:vAlign w:val="bottom"/>
            <w:hideMark/>
          </w:tcPr>
          <w:p w14:paraId="2E02D50B"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430</w:t>
            </w:r>
          </w:p>
        </w:tc>
        <w:tc>
          <w:tcPr>
            <w:tcW w:w="757" w:type="pct"/>
            <w:tcBorders>
              <w:top w:val="nil"/>
              <w:left w:val="nil"/>
              <w:bottom w:val="nil"/>
              <w:right w:val="nil"/>
            </w:tcBorders>
            <w:shd w:val="clear" w:color="auto" w:fill="auto"/>
            <w:noWrap/>
            <w:vAlign w:val="bottom"/>
            <w:hideMark/>
          </w:tcPr>
          <w:p w14:paraId="3DB3E256"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2,276</w:t>
            </w:r>
          </w:p>
        </w:tc>
      </w:tr>
      <w:tr w:rsidR="006E5119" w:rsidRPr="00F31385" w14:paraId="002D2758" w14:textId="77777777" w:rsidTr="006E5119">
        <w:trPr>
          <w:trHeight w:val="300"/>
        </w:trPr>
        <w:tc>
          <w:tcPr>
            <w:tcW w:w="611" w:type="pct"/>
            <w:tcBorders>
              <w:top w:val="nil"/>
              <w:left w:val="nil"/>
              <w:bottom w:val="nil"/>
              <w:right w:val="nil"/>
            </w:tcBorders>
            <w:shd w:val="clear" w:color="auto" w:fill="auto"/>
            <w:noWrap/>
            <w:vAlign w:val="bottom"/>
            <w:hideMark/>
          </w:tcPr>
          <w:p w14:paraId="203858B6"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Average</w:t>
            </w:r>
          </w:p>
        </w:tc>
        <w:tc>
          <w:tcPr>
            <w:tcW w:w="621" w:type="pct"/>
            <w:tcBorders>
              <w:top w:val="nil"/>
              <w:left w:val="nil"/>
              <w:bottom w:val="nil"/>
              <w:right w:val="nil"/>
            </w:tcBorders>
            <w:shd w:val="clear" w:color="auto" w:fill="auto"/>
            <w:noWrap/>
            <w:vAlign w:val="bottom"/>
            <w:hideMark/>
          </w:tcPr>
          <w:p w14:paraId="2CB013D6" w14:textId="77777777" w:rsidR="006E5119" w:rsidRPr="00F31385" w:rsidRDefault="006E5119" w:rsidP="006E5119">
            <w:pPr>
              <w:spacing w:after="0"/>
              <w:jc w:val="both"/>
              <w:rPr>
                <w:rFonts w:eastAsia="Times New Roman" w:cs="Times New Roman"/>
                <w:color w:val="000000"/>
              </w:rPr>
            </w:pPr>
          </w:p>
        </w:tc>
        <w:tc>
          <w:tcPr>
            <w:tcW w:w="589" w:type="pct"/>
            <w:tcBorders>
              <w:top w:val="nil"/>
              <w:left w:val="nil"/>
              <w:bottom w:val="nil"/>
              <w:right w:val="nil"/>
            </w:tcBorders>
            <w:shd w:val="clear" w:color="auto" w:fill="auto"/>
            <w:noWrap/>
            <w:vAlign w:val="bottom"/>
            <w:hideMark/>
          </w:tcPr>
          <w:p w14:paraId="79F5CAC9"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7,543</w:t>
            </w:r>
          </w:p>
        </w:tc>
        <w:tc>
          <w:tcPr>
            <w:tcW w:w="605" w:type="pct"/>
            <w:tcBorders>
              <w:top w:val="nil"/>
              <w:left w:val="nil"/>
              <w:bottom w:val="nil"/>
              <w:right w:val="nil"/>
            </w:tcBorders>
            <w:shd w:val="clear" w:color="auto" w:fill="auto"/>
            <w:noWrap/>
            <w:vAlign w:val="bottom"/>
            <w:hideMark/>
          </w:tcPr>
          <w:p w14:paraId="65717D40"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3,673</w:t>
            </w:r>
          </w:p>
        </w:tc>
        <w:tc>
          <w:tcPr>
            <w:tcW w:w="605" w:type="pct"/>
            <w:tcBorders>
              <w:top w:val="nil"/>
              <w:left w:val="nil"/>
              <w:bottom w:val="nil"/>
              <w:right w:val="nil"/>
            </w:tcBorders>
            <w:shd w:val="clear" w:color="auto" w:fill="auto"/>
            <w:noWrap/>
            <w:vAlign w:val="bottom"/>
            <w:hideMark/>
          </w:tcPr>
          <w:p w14:paraId="4DDEE062"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876</w:t>
            </w:r>
          </w:p>
        </w:tc>
        <w:tc>
          <w:tcPr>
            <w:tcW w:w="606" w:type="pct"/>
            <w:tcBorders>
              <w:top w:val="nil"/>
              <w:left w:val="nil"/>
              <w:bottom w:val="nil"/>
              <w:right w:val="nil"/>
            </w:tcBorders>
            <w:shd w:val="clear" w:color="auto" w:fill="auto"/>
            <w:noWrap/>
            <w:vAlign w:val="bottom"/>
            <w:hideMark/>
          </w:tcPr>
          <w:p w14:paraId="7A52EB29"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518</w:t>
            </w:r>
          </w:p>
        </w:tc>
        <w:tc>
          <w:tcPr>
            <w:tcW w:w="606" w:type="pct"/>
            <w:tcBorders>
              <w:top w:val="nil"/>
              <w:left w:val="nil"/>
              <w:bottom w:val="nil"/>
              <w:right w:val="nil"/>
            </w:tcBorders>
            <w:shd w:val="clear" w:color="auto" w:fill="auto"/>
            <w:noWrap/>
            <w:vAlign w:val="bottom"/>
            <w:hideMark/>
          </w:tcPr>
          <w:p w14:paraId="5A1482BF"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642</w:t>
            </w:r>
          </w:p>
        </w:tc>
        <w:tc>
          <w:tcPr>
            <w:tcW w:w="757" w:type="pct"/>
            <w:tcBorders>
              <w:top w:val="nil"/>
              <w:left w:val="nil"/>
              <w:bottom w:val="nil"/>
              <w:right w:val="nil"/>
            </w:tcBorders>
            <w:shd w:val="clear" w:color="auto" w:fill="auto"/>
            <w:noWrap/>
            <w:vAlign w:val="bottom"/>
            <w:hideMark/>
          </w:tcPr>
          <w:p w14:paraId="5FE8C728"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2,115</w:t>
            </w:r>
          </w:p>
        </w:tc>
      </w:tr>
      <w:tr w:rsidR="006E5119" w:rsidRPr="00F31385" w14:paraId="008F74EB" w14:textId="77777777" w:rsidTr="006E5119">
        <w:trPr>
          <w:trHeight w:val="300"/>
        </w:trPr>
        <w:tc>
          <w:tcPr>
            <w:tcW w:w="611" w:type="pct"/>
            <w:tcBorders>
              <w:top w:val="nil"/>
              <w:left w:val="nil"/>
              <w:bottom w:val="nil"/>
              <w:right w:val="nil"/>
            </w:tcBorders>
            <w:shd w:val="clear" w:color="auto" w:fill="auto"/>
            <w:noWrap/>
            <w:vAlign w:val="bottom"/>
            <w:hideMark/>
          </w:tcPr>
          <w:p w14:paraId="5F4B1E54"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Small</w:t>
            </w:r>
          </w:p>
        </w:tc>
        <w:tc>
          <w:tcPr>
            <w:tcW w:w="621" w:type="pct"/>
            <w:tcBorders>
              <w:top w:val="nil"/>
              <w:left w:val="nil"/>
              <w:bottom w:val="nil"/>
              <w:right w:val="nil"/>
            </w:tcBorders>
            <w:shd w:val="clear" w:color="auto" w:fill="auto"/>
            <w:noWrap/>
            <w:vAlign w:val="bottom"/>
            <w:hideMark/>
          </w:tcPr>
          <w:p w14:paraId="5FD761AB" w14:textId="77777777" w:rsidR="006E5119" w:rsidRPr="00F31385" w:rsidRDefault="006E5119" w:rsidP="006E5119">
            <w:pPr>
              <w:spacing w:after="0"/>
              <w:jc w:val="both"/>
              <w:rPr>
                <w:rFonts w:eastAsia="Times New Roman" w:cs="Times New Roman"/>
                <w:color w:val="000000"/>
              </w:rPr>
            </w:pPr>
          </w:p>
        </w:tc>
        <w:tc>
          <w:tcPr>
            <w:tcW w:w="589" w:type="pct"/>
            <w:tcBorders>
              <w:top w:val="nil"/>
              <w:left w:val="nil"/>
              <w:bottom w:val="nil"/>
              <w:right w:val="nil"/>
            </w:tcBorders>
            <w:shd w:val="clear" w:color="auto" w:fill="auto"/>
            <w:noWrap/>
            <w:vAlign w:val="bottom"/>
            <w:hideMark/>
          </w:tcPr>
          <w:p w14:paraId="64CACD96"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8,398</w:t>
            </w:r>
          </w:p>
        </w:tc>
        <w:tc>
          <w:tcPr>
            <w:tcW w:w="605" w:type="pct"/>
            <w:tcBorders>
              <w:top w:val="nil"/>
              <w:left w:val="nil"/>
              <w:bottom w:val="nil"/>
              <w:right w:val="nil"/>
            </w:tcBorders>
            <w:shd w:val="clear" w:color="auto" w:fill="auto"/>
            <w:noWrap/>
            <w:vAlign w:val="bottom"/>
            <w:hideMark/>
          </w:tcPr>
          <w:p w14:paraId="533DE5FB"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1,178</w:t>
            </w:r>
          </w:p>
        </w:tc>
        <w:tc>
          <w:tcPr>
            <w:tcW w:w="605" w:type="pct"/>
            <w:tcBorders>
              <w:top w:val="nil"/>
              <w:left w:val="nil"/>
              <w:bottom w:val="nil"/>
              <w:right w:val="nil"/>
            </w:tcBorders>
            <w:shd w:val="clear" w:color="auto" w:fill="auto"/>
            <w:noWrap/>
            <w:vAlign w:val="bottom"/>
            <w:hideMark/>
          </w:tcPr>
          <w:p w14:paraId="08ACBD02"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226</w:t>
            </w:r>
          </w:p>
        </w:tc>
        <w:tc>
          <w:tcPr>
            <w:tcW w:w="606" w:type="pct"/>
            <w:tcBorders>
              <w:top w:val="nil"/>
              <w:left w:val="nil"/>
              <w:bottom w:val="nil"/>
              <w:right w:val="nil"/>
            </w:tcBorders>
            <w:shd w:val="clear" w:color="auto" w:fill="auto"/>
            <w:noWrap/>
            <w:vAlign w:val="bottom"/>
            <w:hideMark/>
          </w:tcPr>
          <w:p w14:paraId="65DB9BA3"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386</w:t>
            </w:r>
          </w:p>
        </w:tc>
        <w:tc>
          <w:tcPr>
            <w:tcW w:w="606" w:type="pct"/>
            <w:tcBorders>
              <w:top w:val="nil"/>
              <w:left w:val="nil"/>
              <w:bottom w:val="nil"/>
              <w:right w:val="nil"/>
            </w:tcBorders>
            <w:shd w:val="clear" w:color="auto" w:fill="auto"/>
            <w:noWrap/>
            <w:vAlign w:val="bottom"/>
            <w:hideMark/>
          </w:tcPr>
          <w:p w14:paraId="34EEB8F9"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164</w:t>
            </w:r>
          </w:p>
        </w:tc>
        <w:tc>
          <w:tcPr>
            <w:tcW w:w="757" w:type="pct"/>
            <w:tcBorders>
              <w:top w:val="nil"/>
              <w:left w:val="nil"/>
              <w:bottom w:val="nil"/>
              <w:right w:val="nil"/>
            </w:tcBorders>
            <w:shd w:val="clear" w:color="auto" w:fill="auto"/>
            <w:noWrap/>
            <w:vAlign w:val="bottom"/>
            <w:hideMark/>
          </w:tcPr>
          <w:p w14:paraId="453AEC7E"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2,929</w:t>
            </w:r>
          </w:p>
        </w:tc>
      </w:tr>
      <w:tr w:rsidR="006E5119" w:rsidRPr="00F31385" w14:paraId="6D57AF43" w14:textId="77777777" w:rsidTr="006E5119">
        <w:trPr>
          <w:trHeight w:val="300"/>
        </w:trPr>
        <w:tc>
          <w:tcPr>
            <w:tcW w:w="1232" w:type="pct"/>
            <w:gridSpan w:val="2"/>
            <w:tcBorders>
              <w:top w:val="nil"/>
              <w:left w:val="nil"/>
              <w:bottom w:val="nil"/>
              <w:right w:val="nil"/>
            </w:tcBorders>
            <w:shd w:val="clear" w:color="auto" w:fill="auto"/>
            <w:noWrap/>
            <w:vAlign w:val="bottom"/>
            <w:hideMark/>
          </w:tcPr>
          <w:p w14:paraId="1A85185E"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Sample average</w:t>
            </w:r>
          </w:p>
        </w:tc>
        <w:tc>
          <w:tcPr>
            <w:tcW w:w="589" w:type="pct"/>
            <w:tcBorders>
              <w:top w:val="nil"/>
              <w:left w:val="nil"/>
              <w:bottom w:val="nil"/>
              <w:right w:val="nil"/>
            </w:tcBorders>
            <w:shd w:val="clear" w:color="auto" w:fill="auto"/>
            <w:noWrap/>
            <w:vAlign w:val="bottom"/>
            <w:hideMark/>
          </w:tcPr>
          <w:p w14:paraId="7F047C14"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7,543</w:t>
            </w:r>
          </w:p>
        </w:tc>
        <w:tc>
          <w:tcPr>
            <w:tcW w:w="605" w:type="pct"/>
            <w:tcBorders>
              <w:top w:val="nil"/>
              <w:left w:val="nil"/>
              <w:bottom w:val="nil"/>
              <w:right w:val="nil"/>
            </w:tcBorders>
            <w:shd w:val="clear" w:color="auto" w:fill="auto"/>
            <w:noWrap/>
            <w:vAlign w:val="bottom"/>
            <w:hideMark/>
          </w:tcPr>
          <w:p w14:paraId="6A18FDDE"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3,673</w:t>
            </w:r>
          </w:p>
        </w:tc>
        <w:tc>
          <w:tcPr>
            <w:tcW w:w="605" w:type="pct"/>
            <w:tcBorders>
              <w:top w:val="nil"/>
              <w:left w:val="nil"/>
              <w:bottom w:val="nil"/>
              <w:right w:val="nil"/>
            </w:tcBorders>
            <w:shd w:val="clear" w:color="auto" w:fill="auto"/>
            <w:noWrap/>
            <w:vAlign w:val="bottom"/>
            <w:hideMark/>
          </w:tcPr>
          <w:p w14:paraId="5BD013C6"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876</w:t>
            </w:r>
          </w:p>
        </w:tc>
        <w:tc>
          <w:tcPr>
            <w:tcW w:w="606" w:type="pct"/>
            <w:tcBorders>
              <w:top w:val="nil"/>
              <w:left w:val="nil"/>
              <w:bottom w:val="nil"/>
              <w:right w:val="nil"/>
            </w:tcBorders>
            <w:shd w:val="clear" w:color="auto" w:fill="auto"/>
            <w:noWrap/>
            <w:vAlign w:val="bottom"/>
            <w:hideMark/>
          </w:tcPr>
          <w:p w14:paraId="589382DF"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518</w:t>
            </w:r>
          </w:p>
        </w:tc>
        <w:tc>
          <w:tcPr>
            <w:tcW w:w="606" w:type="pct"/>
            <w:tcBorders>
              <w:top w:val="nil"/>
              <w:left w:val="nil"/>
              <w:bottom w:val="nil"/>
              <w:right w:val="nil"/>
            </w:tcBorders>
            <w:shd w:val="clear" w:color="auto" w:fill="auto"/>
            <w:noWrap/>
            <w:vAlign w:val="bottom"/>
            <w:hideMark/>
          </w:tcPr>
          <w:p w14:paraId="2E108D17"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642</w:t>
            </w:r>
          </w:p>
        </w:tc>
        <w:tc>
          <w:tcPr>
            <w:tcW w:w="757" w:type="pct"/>
            <w:tcBorders>
              <w:top w:val="nil"/>
              <w:left w:val="nil"/>
              <w:bottom w:val="nil"/>
              <w:right w:val="nil"/>
            </w:tcBorders>
            <w:shd w:val="clear" w:color="auto" w:fill="auto"/>
            <w:noWrap/>
            <w:vAlign w:val="bottom"/>
            <w:hideMark/>
          </w:tcPr>
          <w:p w14:paraId="4C016A4B"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2,115</w:t>
            </w:r>
          </w:p>
        </w:tc>
      </w:tr>
    </w:tbl>
    <w:p w14:paraId="57EB8C62" w14:textId="77777777" w:rsidR="006E5119" w:rsidRPr="00F31385" w:rsidRDefault="006E5119" w:rsidP="006E5119">
      <w:pPr>
        <w:spacing w:before="120"/>
        <w:jc w:val="both"/>
      </w:pPr>
    </w:p>
    <w:p w14:paraId="02756CF0" w14:textId="77777777" w:rsidR="006E5119" w:rsidRDefault="006E5119" w:rsidP="006E5119">
      <w:pPr>
        <w:keepNext/>
        <w:jc w:val="both"/>
      </w:pPr>
      <w:r>
        <w:rPr>
          <w:noProof/>
        </w:rPr>
        <w:drawing>
          <wp:inline distT="0" distB="0" distL="0" distR="0" wp14:anchorId="1998B00D" wp14:editId="11A6B36C">
            <wp:extent cx="5486400" cy="3086100"/>
            <wp:effectExtent l="0" t="0" r="25400" b="1270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E0E4CA" w14:textId="77777777" w:rsidR="006E5119" w:rsidRDefault="00314B3D" w:rsidP="00F61312">
      <w:pPr>
        <w:pStyle w:val="Caption"/>
      </w:pPr>
      <w:r>
        <w:t>Table</w:t>
      </w:r>
      <w:r w:rsidR="00F61312">
        <w:t xml:space="preserve"> </w:t>
      </w:r>
      <w:fldSimple w:instr=" SEQ Table \* ARABIC ">
        <w:r>
          <w:rPr>
            <w:noProof/>
          </w:rPr>
          <w:t>6</w:t>
        </w:r>
      </w:fldSimple>
      <w:r w:rsidR="00F61312">
        <w:t xml:space="preserve"> </w:t>
      </w:r>
      <w:r w:rsidR="006E5119">
        <w:t xml:space="preserve">Equalization effects of the </w:t>
      </w:r>
      <w:proofErr w:type="gramStart"/>
      <w:r w:rsidR="006E5119">
        <w:t>general purpose</w:t>
      </w:r>
      <w:proofErr w:type="gramEnd"/>
      <w:r w:rsidR="006E5119">
        <w:t xml:space="preserve"> grants to achieve equity (per capita revenues)</w:t>
      </w:r>
    </w:p>
    <w:p w14:paraId="67B5FCAA" w14:textId="77777777" w:rsidR="006E5119" w:rsidRDefault="006E5119" w:rsidP="006E5119">
      <w:r w:rsidRPr="00F61312">
        <w:t>Data Source</w:t>
      </w:r>
      <w:r w:rsidR="00F61312">
        <w:t>: Ministry of Finance, own calculations</w:t>
      </w:r>
      <w:r>
        <w:t xml:space="preserve"> </w:t>
      </w:r>
    </w:p>
    <w:p w14:paraId="4BAAEA16" w14:textId="77777777" w:rsidR="006E5119" w:rsidRDefault="006E5119" w:rsidP="006E5119">
      <w:pPr>
        <w:pStyle w:val="Heading2"/>
        <w:jc w:val="both"/>
        <w:rPr>
          <w:rFonts w:asciiTheme="minorHAnsi" w:hAnsiTheme="minorHAnsi"/>
        </w:rPr>
      </w:pPr>
    </w:p>
    <w:p w14:paraId="76E33025" w14:textId="77777777" w:rsidR="006E5119" w:rsidRPr="00F31385" w:rsidRDefault="006E5119" w:rsidP="006E5119">
      <w:pPr>
        <w:pStyle w:val="Heading2"/>
        <w:jc w:val="both"/>
        <w:rPr>
          <w:rFonts w:asciiTheme="minorHAnsi" w:hAnsiTheme="minorHAnsi"/>
        </w:rPr>
      </w:pPr>
      <w:bookmarkStart w:id="22" w:name="_Toc253791346"/>
      <w:r>
        <w:rPr>
          <w:rFonts w:asciiTheme="minorHAnsi" w:hAnsiTheme="minorHAnsi"/>
        </w:rPr>
        <w:t xml:space="preserve">3.4 </w:t>
      </w:r>
      <w:r w:rsidRPr="00F31385">
        <w:rPr>
          <w:rFonts w:asciiTheme="minorHAnsi" w:hAnsiTheme="minorHAnsi"/>
        </w:rPr>
        <w:t>Development of own revenues</w:t>
      </w:r>
      <w:bookmarkEnd w:id="22"/>
    </w:p>
    <w:p w14:paraId="04BAF9B3" w14:textId="77777777" w:rsidR="006E5119" w:rsidRDefault="006E5119" w:rsidP="006E5119">
      <w:pPr>
        <w:jc w:val="both"/>
      </w:pPr>
    </w:p>
    <w:p w14:paraId="1409FE0E" w14:textId="77777777" w:rsidR="006E5119" w:rsidRPr="00F31385" w:rsidRDefault="006E5119" w:rsidP="006E5119">
      <w:pPr>
        <w:jc w:val="both"/>
      </w:pPr>
      <w:r>
        <w:t>Local tax and fee collections</w:t>
      </w:r>
      <w:r>
        <w:rPr>
          <w:rStyle w:val="FootnoteReference"/>
        </w:rPr>
        <w:footnoteReference w:id="8"/>
      </w:r>
      <w:r>
        <w:t xml:space="preserve"> at the local level in 2012 amount fluctuated during the period 2008 – 2012, with the lowest result recorded in 2010, the first year when 2009 changes in the local tax system came </w:t>
      </w:r>
      <w:r>
        <w:lastRenderedPageBreak/>
        <w:t xml:space="preserve">into effect. Collections in 2012 amount to 9,3 billion </w:t>
      </w:r>
      <w:proofErr w:type="spellStart"/>
      <w:r>
        <w:t>lek</w:t>
      </w:r>
      <w:proofErr w:type="spellEnd"/>
      <w:r>
        <w:t>, a level that is comparable to collections in 2008. Account for the economic growth and inflation throughout this period, we may conclude that growth in locally derived revenues has been negative.</w:t>
      </w:r>
    </w:p>
    <w:p w14:paraId="5E641123" w14:textId="77777777" w:rsidR="006E5119" w:rsidRPr="00F31385" w:rsidRDefault="006E5119" w:rsidP="006E5119">
      <w:pPr>
        <w:jc w:val="both"/>
      </w:pPr>
      <w:r>
        <w:t>T</w:t>
      </w:r>
      <w:r w:rsidRPr="00F31385">
        <w:t xml:space="preserve">he Small </w:t>
      </w:r>
      <w:r>
        <w:t>B</w:t>
      </w:r>
      <w:r w:rsidRPr="00F31385">
        <w:t xml:space="preserve">usiness </w:t>
      </w:r>
      <w:r>
        <w:t>T</w:t>
      </w:r>
      <w:r w:rsidRPr="00F31385">
        <w:t>ax</w:t>
      </w:r>
      <w:r>
        <w:t xml:space="preserve"> is the revenue that has the highest yield in the local budget</w:t>
      </w:r>
      <w:r w:rsidRPr="00F31385">
        <w:t xml:space="preserve">, </w:t>
      </w:r>
      <w:r>
        <w:t>amounting to</w:t>
      </w:r>
      <w:r w:rsidRPr="00F31385">
        <w:t xml:space="preserve"> 20% of overall local tax revenues; </w:t>
      </w:r>
      <w:r>
        <w:t xml:space="preserve">followed by </w:t>
      </w:r>
      <w:r w:rsidRPr="00F31385">
        <w:t xml:space="preserve">property taxes </w:t>
      </w:r>
      <w:r>
        <w:t xml:space="preserve">(Building and agricultural land tax) </w:t>
      </w:r>
      <w:r w:rsidRPr="00F31385">
        <w:t>at about 11% and the infrastructure impact tax, which makes up for about 10% of local taxes in 2012, with a steep fall from over 20% in previous years.</w:t>
      </w:r>
      <w:r>
        <w:t xml:space="preserve"> The cleaning fee is the second most important single revenue source in local budgets, yielding about 14% of the total tax budget in 2012.</w:t>
      </w:r>
    </w:p>
    <w:p w14:paraId="3FF25271" w14:textId="77777777" w:rsidR="006E5119" w:rsidRPr="00F31385" w:rsidRDefault="006E5119" w:rsidP="006E5119">
      <w:pPr>
        <w:jc w:val="both"/>
      </w:pPr>
    </w:p>
    <w:p w14:paraId="4E519403" w14:textId="77777777" w:rsidR="006E5119" w:rsidRDefault="00314B3D" w:rsidP="00F61312">
      <w:pPr>
        <w:pStyle w:val="Caption"/>
        <w:rPr>
          <w:rFonts w:asciiTheme="minorHAnsi" w:hAnsiTheme="minorHAnsi"/>
          <w:sz w:val="22"/>
          <w:szCs w:val="22"/>
        </w:rPr>
      </w:pPr>
      <w:r>
        <w:t>Table</w:t>
      </w:r>
      <w:r w:rsidR="00F61312">
        <w:t xml:space="preserve"> </w:t>
      </w:r>
      <w:fldSimple w:instr=" SEQ Table \* ARABIC ">
        <w:r>
          <w:rPr>
            <w:noProof/>
          </w:rPr>
          <w:t>7</w:t>
        </w:r>
      </w:fldSimple>
      <w:r w:rsidR="006E5119" w:rsidRPr="00F31385">
        <w:rPr>
          <w:rFonts w:asciiTheme="minorHAnsi" w:hAnsiTheme="minorHAnsi"/>
          <w:sz w:val="22"/>
          <w:szCs w:val="22"/>
        </w:rPr>
        <w:t xml:space="preserve"> Main local revenues in the selected sample in the period 2008 - 2012 </w:t>
      </w:r>
    </w:p>
    <w:p w14:paraId="2AA82490" w14:textId="77777777" w:rsidR="006E5119" w:rsidRPr="004237D0" w:rsidRDefault="006E5119" w:rsidP="006E5119"/>
    <w:tbl>
      <w:tblPr>
        <w:tblW w:w="9120" w:type="dxa"/>
        <w:tblInd w:w="108" w:type="dxa"/>
        <w:tblLook w:val="04A0" w:firstRow="1" w:lastRow="0" w:firstColumn="1" w:lastColumn="0" w:noHBand="0" w:noVBand="1"/>
      </w:tblPr>
      <w:tblGrid>
        <w:gridCol w:w="2580"/>
        <w:gridCol w:w="1416"/>
        <w:gridCol w:w="1236"/>
        <w:gridCol w:w="1416"/>
        <w:gridCol w:w="1236"/>
        <w:gridCol w:w="1236"/>
      </w:tblGrid>
      <w:tr w:rsidR="006E5119" w:rsidRPr="00F31385" w14:paraId="0C4466AD" w14:textId="77777777" w:rsidTr="006E5119">
        <w:trPr>
          <w:trHeight w:val="300"/>
        </w:trPr>
        <w:tc>
          <w:tcPr>
            <w:tcW w:w="2580" w:type="dxa"/>
            <w:tcBorders>
              <w:top w:val="nil"/>
              <w:left w:val="nil"/>
              <w:bottom w:val="single" w:sz="4" w:space="0" w:color="auto"/>
              <w:right w:val="single" w:sz="4" w:space="0" w:color="auto"/>
            </w:tcBorders>
            <w:shd w:val="clear" w:color="auto" w:fill="auto"/>
            <w:noWrap/>
            <w:vAlign w:val="bottom"/>
            <w:hideMark/>
          </w:tcPr>
          <w:p w14:paraId="0F8F6A41" w14:textId="77777777" w:rsidR="006E5119" w:rsidRPr="00A445A3" w:rsidRDefault="006E5119" w:rsidP="006E5119">
            <w:pPr>
              <w:spacing w:after="0"/>
              <w:jc w:val="both"/>
              <w:rPr>
                <w:rFonts w:eastAsia="Times New Roman" w:cs="Times New Roman"/>
                <w:b/>
                <w:i/>
                <w:color w:val="000000"/>
              </w:rPr>
            </w:pPr>
            <w:r w:rsidRPr="00A445A3">
              <w:rPr>
                <w:rFonts w:eastAsia="Times New Roman" w:cs="Times New Roman"/>
                <w:b/>
                <w:i/>
                <w:color w:val="000000"/>
              </w:rPr>
              <w:t>Year</w:t>
            </w:r>
          </w:p>
        </w:tc>
        <w:tc>
          <w:tcPr>
            <w:tcW w:w="1416" w:type="dxa"/>
            <w:tcBorders>
              <w:top w:val="nil"/>
              <w:left w:val="single" w:sz="4" w:space="0" w:color="auto"/>
              <w:bottom w:val="single" w:sz="4" w:space="0" w:color="auto"/>
              <w:right w:val="nil"/>
            </w:tcBorders>
            <w:shd w:val="clear" w:color="auto" w:fill="auto"/>
            <w:noWrap/>
            <w:vAlign w:val="bottom"/>
            <w:hideMark/>
          </w:tcPr>
          <w:p w14:paraId="0BEBED19" w14:textId="77777777" w:rsidR="006E5119" w:rsidRPr="00A445A3" w:rsidRDefault="006E5119" w:rsidP="006E5119">
            <w:pPr>
              <w:spacing w:after="0"/>
              <w:jc w:val="right"/>
              <w:rPr>
                <w:rFonts w:eastAsia="Times New Roman" w:cs="Times New Roman"/>
                <w:b/>
                <w:i/>
                <w:color w:val="000000"/>
              </w:rPr>
            </w:pPr>
            <w:r w:rsidRPr="00A445A3">
              <w:rPr>
                <w:rFonts w:eastAsia="Times New Roman" w:cs="Times New Roman"/>
                <w:b/>
                <w:i/>
                <w:color w:val="000000"/>
              </w:rPr>
              <w:t>2008</w:t>
            </w:r>
          </w:p>
        </w:tc>
        <w:tc>
          <w:tcPr>
            <w:tcW w:w="1236" w:type="dxa"/>
            <w:tcBorders>
              <w:top w:val="nil"/>
              <w:left w:val="nil"/>
              <w:bottom w:val="single" w:sz="4" w:space="0" w:color="auto"/>
              <w:right w:val="nil"/>
            </w:tcBorders>
            <w:shd w:val="clear" w:color="auto" w:fill="auto"/>
            <w:noWrap/>
            <w:vAlign w:val="bottom"/>
            <w:hideMark/>
          </w:tcPr>
          <w:p w14:paraId="74F3955F" w14:textId="77777777" w:rsidR="006E5119" w:rsidRPr="00A445A3" w:rsidRDefault="006E5119" w:rsidP="006E5119">
            <w:pPr>
              <w:spacing w:after="0"/>
              <w:jc w:val="right"/>
              <w:rPr>
                <w:rFonts w:eastAsia="Times New Roman" w:cs="Times New Roman"/>
                <w:b/>
                <w:i/>
                <w:color w:val="000000"/>
              </w:rPr>
            </w:pPr>
            <w:r w:rsidRPr="00A445A3">
              <w:rPr>
                <w:rFonts w:eastAsia="Times New Roman" w:cs="Times New Roman"/>
                <w:b/>
                <w:i/>
                <w:color w:val="000000"/>
              </w:rPr>
              <w:t>2009</w:t>
            </w:r>
          </w:p>
        </w:tc>
        <w:tc>
          <w:tcPr>
            <w:tcW w:w="1416" w:type="dxa"/>
            <w:tcBorders>
              <w:top w:val="nil"/>
              <w:left w:val="nil"/>
              <w:bottom w:val="single" w:sz="4" w:space="0" w:color="auto"/>
              <w:right w:val="nil"/>
            </w:tcBorders>
            <w:shd w:val="clear" w:color="auto" w:fill="auto"/>
            <w:noWrap/>
            <w:vAlign w:val="bottom"/>
            <w:hideMark/>
          </w:tcPr>
          <w:p w14:paraId="3FB64DAE" w14:textId="77777777" w:rsidR="006E5119" w:rsidRPr="00A445A3" w:rsidRDefault="006E5119" w:rsidP="006E5119">
            <w:pPr>
              <w:spacing w:after="0"/>
              <w:jc w:val="right"/>
              <w:rPr>
                <w:rFonts w:eastAsia="Times New Roman" w:cs="Times New Roman"/>
                <w:b/>
                <w:i/>
                <w:color w:val="000000"/>
              </w:rPr>
            </w:pPr>
            <w:r w:rsidRPr="00A445A3">
              <w:rPr>
                <w:rFonts w:eastAsia="Times New Roman" w:cs="Times New Roman"/>
                <w:b/>
                <w:i/>
                <w:color w:val="000000"/>
              </w:rPr>
              <w:t>2010</w:t>
            </w:r>
          </w:p>
        </w:tc>
        <w:tc>
          <w:tcPr>
            <w:tcW w:w="1236" w:type="dxa"/>
            <w:tcBorders>
              <w:top w:val="nil"/>
              <w:left w:val="nil"/>
              <w:bottom w:val="single" w:sz="4" w:space="0" w:color="auto"/>
              <w:right w:val="nil"/>
            </w:tcBorders>
            <w:shd w:val="clear" w:color="auto" w:fill="auto"/>
            <w:noWrap/>
            <w:vAlign w:val="bottom"/>
            <w:hideMark/>
          </w:tcPr>
          <w:p w14:paraId="4FCEE2E7" w14:textId="77777777" w:rsidR="006E5119" w:rsidRPr="00A445A3" w:rsidRDefault="006E5119" w:rsidP="006E5119">
            <w:pPr>
              <w:spacing w:after="0"/>
              <w:jc w:val="right"/>
              <w:rPr>
                <w:rFonts w:eastAsia="Times New Roman" w:cs="Times New Roman"/>
                <w:b/>
                <w:i/>
                <w:color w:val="000000"/>
              </w:rPr>
            </w:pPr>
            <w:r w:rsidRPr="00A445A3">
              <w:rPr>
                <w:rFonts w:eastAsia="Times New Roman" w:cs="Times New Roman"/>
                <w:b/>
                <w:i/>
                <w:color w:val="000000"/>
              </w:rPr>
              <w:t>2011</w:t>
            </w:r>
          </w:p>
        </w:tc>
        <w:tc>
          <w:tcPr>
            <w:tcW w:w="1236" w:type="dxa"/>
            <w:tcBorders>
              <w:top w:val="nil"/>
              <w:left w:val="nil"/>
              <w:bottom w:val="single" w:sz="4" w:space="0" w:color="auto"/>
              <w:right w:val="nil"/>
            </w:tcBorders>
            <w:shd w:val="clear" w:color="auto" w:fill="auto"/>
            <w:noWrap/>
            <w:vAlign w:val="bottom"/>
            <w:hideMark/>
          </w:tcPr>
          <w:p w14:paraId="4EE397D3" w14:textId="77777777" w:rsidR="006E5119" w:rsidRPr="00A445A3" w:rsidRDefault="006E5119" w:rsidP="006E5119">
            <w:pPr>
              <w:spacing w:after="0"/>
              <w:jc w:val="right"/>
              <w:rPr>
                <w:rFonts w:eastAsia="Times New Roman" w:cs="Times New Roman"/>
                <w:b/>
                <w:i/>
                <w:color w:val="000000"/>
              </w:rPr>
            </w:pPr>
            <w:r w:rsidRPr="00A445A3">
              <w:rPr>
                <w:rFonts w:eastAsia="Times New Roman" w:cs="Times New Roman"/>
                <w:b/>
                <w:i/>
                <w:color w:val="000000"/>
              </w:rPr>
              <w:t>2012</w:t>
            </w:r>
          </w:p>
        </w:tc>
      </w:tr>
      <w:tr w:rsidR="006E5119" w:rsidRPr="00F31385" w14:paraId="5C423EF2" w14:textId="77777777" w:rsidTr="006E5119">
        <w:trPr>
          <w:trHeight w:val="300"/>
        </w:trPr>
        <w:tc>
          <w:tcPr>
            <w:tcW w:w="2580" w:type="dxa"/>
            <w:tcBorders>
              <w:top w:val="single" w:sz="4" w:space="0" w:color="auto"/>
              <w:left w:val="nil"/>
              <w:bottom w:val="nil"/>
              <w:right w:val="single" w:sz="4" w:space="0" w:color="auto"/>
            </w:tcBorders>
            <w:shd w:val="clear" w:color="auto" w:fill="auto"/>
            <w:noWrap/>
            <w:vAlign w:val="bottom"/>
            <w:hideMark/>
          </w:tcPr>
          <w:p w14:paraId="3723B957"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Small business tax</w:t>
            </w:r>
          </w:p>
        </w:tc>
        <w:tc>
          <w:tcPr>
            <w:tcW w:w="1416" w:type="dxa"/>
            <w:tcBorders>
              <w:top w:val="single" w:sz="4" w:space="0" w:color="auto"/>
              <w:left w:val="single" w:sz="4" w:space="0" w:color="auto"/>
              <w:bottom w:val="nil"/>
              <w:right w:val="nil"/>
            </w:tcBorders>
            <w:shd w:val="clear" w:color="auto" w:fill="auto"/>
            <w:noWrap/>
            <w:vAlign w:val="bottom"/>
            <w:hideMark/>
          </w:tcPr>
          <w:p w14:paraId="708A04D0"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2,067,359 </w:t>
            </w:r>
          </w:p>
        </w:tc>
        <w:tc>
          <w:tcPr>
            <w:tcW w:w="1236" w:type="dxa"/>
            <w:tcBorders>
              <w:top w:val="single" w:sz="4" w:space="0" w:color="auto"/>
              <w:left w:val="nil"/>
              <w:bottom w:val="nil"/>
              <w:right w:val="nil"/>
            </w:tcBorders>
            <w:shd w:val="clear" w:color="auto" w:fill="auto"/>
            <w:noWrap/>
            <w:vAlign w:val="bottom"/>
            <w:hideMark/>
          </w:tcPr>
          <w:p w14:paraId="79E780F7"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2,102,799 </w:t>
            </w:r>
          </w:p>
        </w:tc>
        <w:tc>
          <w:tcPr>
            <w:tcW w:w="1416" w:type="dxa"/>
            <w:tcBorders>
              <w:top w:val="single" w:sz="4" w:space="0" w:color="auto"/>
              <w:left w:val="nil"/>
              <w:bottom w:val="nil"/>
              <w:right w:val="nil"/>
            </w:tcBorders>
            <w:shd w:val="clear" w:color="auto" w:fill="auto"/>
            <w:noWrap/>
            <w:vAlign w:val="bottom"/>
            <w:hideMark/>
          </w:tcPr>
          <w:p w14:paraId="414B8907"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2,409,418 </w:t>
            </w:r>
          </w:p>
        </w:tc>
        <w:tc>
          <w:tcPr>
            <w:tcW w:w="1236" w:type="dxa"/>
            <w:tcBorders>
              <w:top w:val="single" w:sz="4" w:space="0" w:color="auto"/>
              <w:left w:val="nil"/>
              <w:bottom w:val="nil"/>
              <w:right w:val="nil"/>
            </w:tcBorders>
            <w:shd w:val="clear" w:color="auto" w:fill="auto"/>
            <w:noWrap/>
            <w:vAlign w:val="bottom"/>
            <w:hideMark/>
          </w:tcPr>
          <w:p w14:paraId="09D4B0C8"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2,146,272 </w:t>
            </w:r>
          </w:p>
        </w:tc>
        <w:tc>
          <w:tcPr>
            <w:tcW w:w="1236" w:type="dxa"/>
            <w:tcBorders>
              <w:top w:val="single" w:sz="4" w:space="0" w:color="auto"/>
              <w:left w:val="nil"/>
              <w:bottom w:val="nil"/>
              <w:right w:val="nil"/>
            </w:tcBorders>
            <w:shd w:val="clear" w:color="auto" w:fill="auto"/>
            <w:noWrap/>
            <w:vAlign w:val="bottom"/>
            <w:hideMark/>
          </w:tcPr>
          <w:p w14:paraId="3F8E96F6"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1,806,312 </w:t>
            </w:r>
          </w:p>
        </w:tc>
      </w:tr>
      <w:tr w:rsidR="006E5119" w:rsidRPr="00F31385" w14:paraId="15E08D21" w14:textId="77777777" w:rsidTr="006E5119">
        <w:trPr>
          <w:trHeight w:val="300"/>
        </w:trPr>
        <w:tc>
          <w:tcPr>
            <w:tcW w:w="2580" w:type="dxa"/>
            <w:tcBorders>
              <w:top w:val="nil"/>
              <w:left w:val="nil"/>
              <w:bottom w:val="nil"/>
              <w:right w:val="single" w:sz="4" w:space="0" w:color="auto"/>
            </w:tcBorders>
            <w:shd w:val="clear" w:color="auto" w:fill="auto"/>
            <w:noWrap/>
            <w:vAlign w:val="bottom"/>
            <w:hideMark/>
          </w:tcPr>
          <w:p w14:paraId="7475B31C"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Property taxes</w:t>
            </w:r>
          </w:p>
        </w:tc>
        <w:tc>
          <w:tcPr>
            <w:tcW w:w="1416" w:type="dxa"/>
            <w:tcBorders>
              <w:top w:val="nil"/>
              <w:left w:val="single" w:sz="4" w:space="0" w:color="auto"/>
              <w:bottom w:val="nil"/>
              <w:right w:val="nil"/>
            </w:tcBorders>
            <w:shd w:val="clear" w:color="auto" w:fill="auto"/>
            <w:noWrap/>
            <w:vAlign w:val="bottom"/>
            <w:hideMark/>
          </w:tcPr>
          <w:p w14:paraId="62653A46"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807,858 </w:t>
            </w:r>
          </w:p>
        </w:tc>
        <w:tc>
          <w:tcPr>
            <w:tcW w:w="1236" w:type="dxa"/>
            <w:tcBorders>
              <w:top w:val="nil"/>
              <w:left w:val="nil"/>
              <w:bottom w:val="nil"/>
              <w:right w:val="nil"/>
            </w:tcBorders>
            <w:shd w:val="clear" w:color="auto" w:fill="auto"/>
            <w:noWrap/>
            <w:vAlign w:val="bottom"/>
            <w:hideMark/>
          </w:tcPr>
          <w:p w14:paraId="60796811"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847,747 </w:t>
            </w:r>
          </w:p>
        </w:tc>
        <w:tc>
          <w:tcPr>
            <w:tcW w:w="1416" w:type="dxa"/>
            <w:tcBorders>
              <w:top w:val="nil"/>
              <w:left w:val="nil"/>
              <w:bottom w:val="nil"/>
              <w:right w:val="nil"/>
            </w:tcBorders>
            <w:shd w:val="clear" w:color="auto" w:fill="auto"/>
            <w:noWrap/>
            <w:vAlign w:val="bottom"/>
            <w:hideMark/>
          </w:tcPr>
          <w:p w14:paraId="2C9A4FCF"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1,090,472 </w:t>
            </w:r>
          </w:p>
        </w:tc>
        <w:tc>
          <w:tcPr>
            <w:tcW w:w="1236" w:type="dxa"/>
            <w:tcBorders>
              <w:top w:val="nil"/>
              <w:left w:val="nil"/>
              <w:bottom w:val="nil"/>
              <w:right w:val="nil"/>
            </w:tcBorders>
            <w:shd w:val="clear" w:color="auto" w:fill="auto"/>
            <w:noWrap/>
            <w:vAlign w:val="bottom"/>
            <w:hideMark/>
          </w:tcPr>
          <w:p w14:paraId="36F486CD"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1,126,330 </w:t>
            </w:r>
          </w:p>
        </w:tc>
        <w:tc>
          <w:tcPr>
            <w:tcW w:w="1236" w:type="dxa"/>
            <w:tcBorders>
              <w:top w:val="nil"/>
              <w:left w:val="nil"/>
              <w:bottom w:val="nil"/>
              <w:right w:val="nil"/>
            </w:tcBorders>
            <w:shd w:val="clear" w:color="auto" w:fill="auto"/>
            <w:noWrap/>
            <w:vAlign w:val="bottom"/>
            <w:hideMark/>
          </w:tcPr>
          <w:p w14:paraId="5DE42EB4"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1,067,736 </w:t>
            </w:r>
          </w:p>
        </w:tc>
      </w:tr>
      <w:tr w:rsidR="006E5119" w:rsidRPr="00F31385" w14:paraId="3F698410" w14:textId="77777777" w:rsidTr="006E5119">
        <w:trPr>
          <w:trHeight w:val="300"/>
        </w:trPr>
        <w:tc>
          <w:tcPr>
            <w:tcW w:w="2580" w:type="dxa"/>
            <w:tcBorders>
              <w:top w:val="nil"/>
              <w:left w:val="nil"/>
              <w:bottom w:val="nil"/>
              <w:right w:val="single" w:sz="4" w:space="0" w:color="auto"/>
            </w:tcBorders>
            <w:shd w:val="clear" w:color="auto" w:fill="auto"/>
            <w:noWrap/>
            <w:vAlign w:val="bottom"/>
            <w:hideMark/>
          </w:tcPr>
          <w:p w14:paraId="6292E761"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Infrastructure impact tax</w:t>
            </w:r>
          </w:p>
        </w:tc>
        <w:tc>
          <w:tcPr>
            <w:tcW w:w="1416" w:type="dxa"/>
            <w:tcBorders>
              <w:top w:val="nil"/>
              <w:left w:val="single" w:sz="4" w:space="0" w:color="auto"/>
              <w:bottom w:val="nil"/>
              <w:right w:val="nil"/>
            </w:tcBorders>
            <w:shd w:val="clear" w:color="auto" w:fill="auto"/>
            <w:noWrap/>
            <w:vAlign w:val="bottom"/>
            <w:hideMark/>
          </w:tcPr>
          <w:p w14:paraId="38C35D83"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1,761,554 </w:t>
            </w:r>
          </w:p>
        </w:tc>
        <w:tc>
          <w:tcPr>
            <w:tcW w:w="1236" w:type="dxa"/>
            <w:tcBorders>
              <w:top w:val="nil"/>
              <w:left w:val="nil"/>
              <w:bottom w:val="nil"/>
              <w:right w:val="nil"/>
            </w:tcBorders>
            <w:shd w:val="clear" w:color="auto" w:fill="auto"/>
            <w:noWrap/>
            <w:vAlign w:val="bottom"/>
            <w:hideMark/>
          </w:tcPr>
          <w:p w14:paraId="39E74C4C"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2,271,817 </w:t>
            </w:r>
          </w:p>
        </w:tc>
        <w:tc>
          <w:tcPr>
            <w:tcW w:w="1416" w:type="dxa"/>
            <w:tcBorders>
              <w:top w:val="nil"/>
              <w:left w:val="nil"/>
              <w:bottom w:val="nil"/>
              <w:right w:val="nil"/>
            </w:tcBorders>
            <w:shd w:val="clear" w:color="auto" w:fill="auto"/>
            <w:noWrap/>
            <w:vAlign w:val="bottom"/>
            <w:hideMark/>
          </w:tcPr>
          <w:p w14:paraId="7966D40D"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1,815,821 </w:t>
            </w:r>
          </w:p>
        </w:tc>
        <w:tc>
          <w:tcPr>
            <w:tcW w:w="1236" w:type="dxa"/>
            <w:tcBorders>
              <w:top w:val="nil"/>
              <w:left w:val="nil"/>
              <w:bottom w:val="nil"/>
              <w:right w:val="nil"/>
            </w:tcBorders>
            <w:shd w:val="clear" w:color="auto" w:fill="auto"/>
            <w:noWrap/>
            <w:vAlign w:val="bottom"/>
            <w:hideMark/>
          </w:tcPr>
          <w:p w14:paraId="78E1EBC2"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2,266,475 </w:t>
            </w:r>
          </w:p>
        </w:tc>
        <w:tc>
          <w:tcPr>
            <w:tcW w:w="1236" w:type="dxa"/>
            <w:tcBorders>
              <w:top w:val="nil"/>
              <w:left w:val="nil"/>
              <w:bottom w:val="nil"/>
              <w:right w:val="nil"/>
            </w:tcBorders>
            <w:shd w:val="clear" w:color="auto" w:fill="auto"/>
            <w:noWrap/>
            <w:vAlign w:val="bottom"/>
            <w:hideMark/>
          </w:tcPr>
          <w:p w14:paraId="0E1E6731"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926,965 </w:t>
            </w:r>
          </w:p>
        </w:tc>
      </w:tr>
      <w:tr w:rsidR="006E5119" w:rsidRPr="00F31385" w14:paraId="0EDB1429" w14:textId="77777777" w:rsidTr="006E5119">
        <w:trPr>
          <w:trHeight w:val="300"/>
        </w:trPr>
        <w:tc>
          <w:tcPr>
            <w:tcW w:w="2580" w:type="dxa"/>
            <w:tcBorders>
              <w:top w:val="nil"/>
              <w:left w:val="nil"/>
              <w:bottom w:val="nil"/>
              <w:right w:val="single" w:sz="4" w:space="0" w:color="auto"/>
            </w:tcBorders>
            <w:shd w:val="clear" w:color="auto" w:fill="auto"/>
            <w:noWrap/>
            <w:vAlign w:val="bottom"/>
            <w:hideMark/>
          </w:tcPr>
          <w:p w14:paraId="4DFC3BAB"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Public space tax</w:t>
            </w:r>
          </w:p>
        </w:tc>
        <w:tc>
          <w:tcPr>
            <w:tcW w:w="1416" w:type="dxa"/>
            <w:tcBorders>
              <w:top w:val="nil"/>
              <w:left w:val="single" w:sz="4" w:space="0" w:color="auto"/>
              <w:bottom w:val="nil"/>
              <w:right w:val="nil"/>
            </w:tcBorders>
            <w:shd w:val="clear" w:color="auto" w:fill="auto"/>
            <w:noWrap/>
            <w:vAlign w:val="bottom"/>
            <w:hideMark/>
          </w:tcPr>
          <w:p w14:paraId="6089F180"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389,531 </w:t>
            </w:r>
          </w:p>
        </w:tc>
        <w:tc>
          <w:tcPr>
            <w:tcW w:w="1236" w:type="dxa"/>
            <w:tcBorders>
              <w:top w:val="nil"/>
              <w:left w:val="nil"/>
              <w:bottom w:val="nil"/>
              <w:right w:val="nil"/>
            </w:tcBorders>
            <w:shd w:val="clear" w:color="auto" w:fill="auto"/>
            <w:noWrap/>
            <w:vAlign w:val="bottom"/>
            <w:hideMark/>
          </w:tcPr>
          <w:p w14:paraId="2702A84C"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175,882 </w:t>
            </w:r>
          </w:p>
        </w:tc>
        <w:tc>
          <w:tcPr>
            <w:tcW w:w="1416" w:type="dxa"/>
            <w:tcBorders>
              <w:top w:val="nil"/>
              <w:left w:val="nil"/>
              <w:bottom w:val="nil"/>
              <w:right w:val="nil"/>
            </w:tcBorders>
            <w:shd w:val="clear" w:color="auto" w:fill="auto"/>
            <w:noWrap/>
            <w:vAlign w:val="bottom"/>
            <w:hideMark/>
          </w:tcPr>
          <w:p w14:paraId="2BFF3B8F"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310,049 </w:t>
            </w:r>
          </w:p>
        </w:tc>
        <w:tc>
          <w:tcPr>
            <w:tcW w:w="1236" w:type="dxa"/>
            <w:tcBorders>
              <w:top w:val="nil"/>
              <w:left w:val="nil"/>
              <w:bottom w:val="nil"/>
              <w:right w:val="nil"/>
            </w:tcBorders>
            <w:shd w:val="clear" w:color="auto" w:fill="auto"/>
            <w:noWrap/>
            <w:vAlign w:val="bottom"/>
            <w:hideMark/>
          </w:tcPr>
          <w:p w14:paraId="799CAF84"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250,624 </w:t>
            </w:r>
          </w:p>
        </w:tc>
        <w:tc>
          <w:tcPr>
            <w:tcW w:w="1236" w:type="dxa"/>
            <w:tcBorders>
              <w:top w:val="nil"/>
              <w:left w:val="nil"/>
              <w:bottom w:val="nil"/>
              <w:right w:val="nil"/>
            </w:tcBorders>
            <w:shd w:val="clear" w:color="auto" w:fill="auto"/>
            <w:noWrap/>
            <w:vAlign w:val="bottom"/>
            <w:hideMark/>
          </w:tcPr>
          <w:p w14:paraId="0B06619A"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338,602 </w:t>
            </w:r>
          </w:p>
        </w:tc>
      </w:tr>
      <w:tr w:rsidR="006E5119" w:rsidRPr="00F31385" w14:paraId="3D20B81E" w14:textId="77777777" w:rsidTr="006E5119">
        <w:trPr>
          <w:trHeight w:val="300"/>
        </w:trPr>
        <w:tc>
          <w:tcPr>
            <w:tcW w:w="2580" w:type="dxa"/>
            <w:tcBorders>
              <w:top w:val="nil"/>
              <w:left w:val="nil"/>
              <w:bottom w:val="nil"/>
              <w:right w:val="single" w:sz="4" w:space="0" w:color="auto"/>
            </w:tcBorders>
            <w:shd w:val="clear" w:color="auto" w:fill="auto"/>
            <w:noWrap/>
            <w:vAlign w:val="bottom"/>
            <w:hideMark/>
          </w:tcPr>
          <w:p w14:paraId="05A119C0"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Cleaning fee</w:t>
            </w:r>
          </w:p>
        </w:tc>
        <w:tc>
          <w:tcPr>
            <w:tcW w:w="1416" w:type="dxa"/>
            <w:tcBorders>
              <w:top w:val="nil"/>
              <w:left w:val="single" w:sz="4" w:space="0" w:color="auto"/>
              <w:bottom w:val="nil"/>
              <w:right w:val="nil"/>
            </w:tcBorders>
            <w:shd w:val="clear" w:color="auto" w:fill="auto"/>
            <w:noWrap/>
            <w:vAlign w:val="bottom"/>
            <w:hideMark/>
          </w:tcPr>
          <w:p w14:paraId="10659EB7"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900,395 </w:t>
            </w:r>
          </w:p>
        </w:tc>
        <w:tc>
          <w:tcPr>
            <w:tcW w:w="1236" w:type="dxa"/>
            <w:tcBorders>
              <w:top w:val="nil"/>
              <w:left w:val="nil"/>
              <w:bottom w:val="nil"/>
              <w:right w:val="nil"/>
            </w:tcBorders>
            <w:shd w:val="clear" w:color="auto" w:fill="auto"/>
            <w:noWrap/>
            <w:vAlign w:val="bottom"/>
            <w:hideMark/>
          </w:tcPr>
          <w:p w14:paraId="25867C4B"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1,049,903 </w:t>
            </w:r>
          </w:p>
        </w:tc>
        <w:tc>
          <w:tcPr>
            <w:tcW w:w="1416" w:type="dxa"/>
            <w:tcBorders>
              <w:top w:val="nil"/>
              <w:left w:val="nil"/>
              <w:bottom w:val="nil"/>
              <w:right w:val="nil"/>
            </w:tcBorders>
            <w:shd w:val="clear" w:color="auto" w:fill="auto"/>
            <w:noWrap/>
            <w:vAlign w:val="bottom"/>
            <w:hideMark/>
          </w:tcPr>
          <w:p w14:paraId="335B0A5C"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1,005,476 </w:t>
            </w:r>
          </w:p>
        </w:tc>
        <w:tc>
          <w:tcPr>
            <w:tcW w:w="1236" w:type="dxa"/>
            <w:tcBorders>
              <w:top w:val="nil"/>
              <w:left w:val="nil"/>
              <w:bottom w:val="nil"/>
              <w:right w:val="nil"/>
            </w:tcBorders>
            <w:shd w:val="clear" w:color="auto" w:fill="auto"/>
            <w:noWrap/>
            <w:vAlign w:val="bottom"/>
            <w:hideMark/>
          </w:tcPr>
          <w:p w14:paraId="46A93F57"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1,058,264 </w:t>
            </w:r>
          </w:p>
        </w:tc>
        <w:tc>
          <w:tcPr>
            <w:tcW w:w="1236" w:type="dxa"/>
            <w:tcBorders>
              <w:top w:val="nil"/>
              <w:left w:val="nil"/>
              <w:bottom w:val="nil"/>
              <w:right w:val="nil"/>
            </w:tcBorders>
            <w:shd w:val="clear" w:color="auto" w:fill="auto"/>
            <w:noWrap/>
            <w:vAlign w:val="bottom"/>
            <w:hideMark/>
          </w:tcPr>
          <w:p w14:paraId="65EFD73A"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1,324,188 </w:t>
            </w:r>
          </w:p>
        </w:tc>
      </w:tr>
      <w:tr w:rsidR="006E5119" w:rsidRPr="00F31385" w14:paraId="7983E4C6" w14:textId="77777777" w:rsidTr="006E5119">
        <w:trPr>
          <w:trHeight w:val="300"/>
        </w:trPr>
        <w:tc>
          <w:tcPr>
            <w:tcW w:w="2580" w:type="dxa"/>
            <w:tcBorders>
              <w:top w:val="nil"/>
              <w:left w:val="nil"/>
              <w:bottom w:val="nil"/>
              <w:right w:val="single" w:sz="4" w:space="0" w:color="auto"/>
            </w:tcBorders>
            <w:shd w:val="clear" w:color="auto" w:fill="auto"/>
            <w:noWrap/>
            <w:vAlign w:val="bottom"/>
            <w:hideMark/>
          </w:tcPr>
          <w:p w14:paraId="2B442DE4"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Other local revenues</w:t>
            </w:r>
          </w:p>
        </w:tc>
        <w:tc>
          <w:tcPr>
            <w:tcW w:w="1416" w:type="dxa"/>
            <w:tcBorders>
              <w:top w:val="nil"/>
              <w:left w:val="single" w:sz="4" w:space="0" w:color="auto"/>
              <w:bottom w:val="nil"/>
              <w:right w:val="nil"/>
            </w:tcBorders>
            <w:shd w:val="clear" w:color="auto" w:fill="auto"/>
            <w:noWrap/>
            <w:vAlign w:val="bottom"/>
            <w:hideMark/>
          </w:tcPr>
          <w:p w14:paraId="71A1593E"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3,216,628 </w:t>
            </w:r>
          </w:p>
        </w:tc>
        <w:tc>
          <w:tcPr>
            <w:tcW w:w="1236" w:type="dxa"/>
            <w:tcBorders>
              <w:top w:val="nil"/>
              <w:left w:val="nil"/>
              <w:bottom w:val="nil"/>
              <w:right w:val="nil"/>
            </w:tcBorders>
            <w:shd w:val="clear" w:color="auto" w:fill="auto"/>
            <w:noWrap/>
            <w:vAlign w:val="bottom"/>
            <w:hideMark/>
          </w:tcPr>
          <w:p w14:paraId="55E9A26C"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4,146,167 </w:t>
            </w:r>
          </w:p>
        </w:tc>
        <w:tc>
          <w:tcPr>
            <w:tcW w:w="1416" w:type="dxa"/>
            <w:tcBorders>
              <w:top w:val="nil"/>
              <w:left w:val="nil"/>
              <w:bottom w:val="nil"/>
              <w:right w:val="nil"/>
            </w:tcBorders>
            <w:shd w:val="clear" w:color="auto" w:fill="auto"/>
            <w:noWrap/>
            <w:vAlign w:val="bottom"/>
            <w:hideMark/>
          </w:tcPr>
          <w:p w14:paraId="7F08EFA8"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942,497 </w:t>
            </w:r>
          </w:p>
        </w:tc>
        <w:tc>
          <w:tcPr>
            <w:tcW w:w="1236" w:type="dxa"/>
            <w:tcBorders>
              <w:top w:val="nil"/>
              <w:left w:val="nil"/>
              <w:bottom w:val="nil"/>
              <w:right w:val="nil"/>
            </w:tcBorders>
            <w:shd w:val="clear" w:color="auto" w:fill="auto"/>
            <w:noWrap/>
            <w:vAlign w:val="bottom"/>
            <w:hideMark/>
          </w:tcPr>
          <w:p w14:paraId="14DF0BDA"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3,277,612 </w:t>
            </w:r>
          </w:p>
        </w:tc>
        <w:tc>
          <w:tcPr>
            <w:tcW w:w="1236" w:type="dxa"/>
            <w:tcBorders>
              <w:top w:val="nil"/>
              <w:left w:val="nil"/>
              <w:bottom w:val="nil"/>
              <w:right w:val="nil"/>
            </w:tcBorders>
            <w:shd w:val="clear" w:color="auto" w:fill="auto"/>
            <w:noWrap/>
            <w:vAlign w:val="bottom"/>
            <w:hideMark/>
          </w:tcPr>
          <w:p w14:paraId="4BD65B93" w14:textId="77777777" w:rsidR="006E5119" w:rsidRPr="00F31385" w:rsidRDefault="006E5119" w:rsidP="006E5119">
            <w:pPr>
              <w:spacing w:after="0"/>
              <w:jc w:val="right"/>
              <w:rPr>
                <w:rFonts w:eastAsia="Times New Roman" w:cs="Times New Roman"/>
                <w:color w:val="000000"/>
              </w:rPr>
            </w:pPr>
            <w:r w:rsidRPr="00F31385">
              <w:rPr>
                <w:rFonts w:eastAsia="Times New Roman" w:cs="Times New Roman"/>
                <w:color w:val="000000"/>
              </w:rPr>
              <w:t xml:space="preserve">     3,846,604 </w:t>
            </w:r>
          </w:p>
        </w:tc>
      </w:tr>
      <w:tr w:rsidR="006E5119" w:rsidRPr="00F31385" w14:paraId="01EDEE2B" w14:textId="77777777" w:rsidTr="006E5119">
        <w:trPr>
          <w:trHeight w:val="300"/>
        </w:trPr>
        <w:tc>
          <w:tcPr>
            <w:tcW w:w="2580" w:type="dxa"/>
            <w:tcBorders>
              <w:top w:val="nil"/>
              <w:left w:val="nil"/>
              <w:bottom w:val="nil"/>
              <w:right w:val="single" w:sz="4" w:space="0" w:color="auto"/>
            </w:tcBorders>
            <w:shd w:val="clear" w:color="auto" w:fill="auto"/>
            <w:noWrap/>
            <w:vAlign w:val="bottom"/>
            <w:hideMark/>
          </w:tcPr>
          <w:p w14:paraId="53EC7FFB" w14:textId="77777777" w:rsidR="006E5119" w:rsidRPr="00F31385" w:rsidRDefault="006E5119" w:rsidP="006E5119">
            <w:pPr>
              <w:spacing w:after="0"/>
              <w:jc w:val="both"/>
              <w:rPr>
                <w:rFonts w:eastAsia="Times New Roman" w:cs="Times New Roman"/>
                <w:color w:val="000000"/>
              </w:rPr>
            </w:pPr>
            <w:r w:rsidRPr="00F31385">
              <w:rPr>
                <w:rFonts w:eastAsia="Times New Roman" w:cs="Times New Roman"/>
                <w:color w:val="000000"/>
              </w:rPr>
              <w:t>Total local tax revenue</w:t>
            </w:r>
          </w:p>
        </w:tc>
        <w:tc>
          <w:tcPr>
            <w:tcW w:w="1416" w:type="dxa"/>
            <w:tcBorders>
              <w:top w:val="nil"/>
              <w:left w:val="single" w:sz="4" w:space="0" w:color="auto"/>
              <w:bottom w:val="nil"/>
              <w:right w:val="nil"/>
            </w:tcBorders>
            <w:shd w:val="clear" w:color="auto" w:fill="auto"/>
            <w:noWrap/>
            <w:vAlign w:val="bottom"/>
            <w:hideMark/>
          </w:tcPr>
          <w:p w14:paraId="32F6AA5C" w14:textId="77777777" w:rsidR="006E5119" w:rsidRPr="00F31385" w:rsidRDefault="006E5119" w:rsidP="006E5119">
            <w:pPr>
              <w:spacing w:after="0"/>
              <w:jc w:val="right"/>
              <w:rPr>
                <w:rFonts w:eastAsia="Times New Roman" w:cs="Times New Roman"/>
                <w:b/>
                <w:bCs/>
                <w:color w:val="000000"/>
              </w:rPr>
            </w:pPr>
            <w:r w:rsidRPr="00F31385">
              <w:rPr>
                <w:rFonts w:eastAsia="Times New Roman" w:cs="Times New Roman"/>
                <w:b/>
                <w:bCs/>
                <w:color w:val="000000"/>
              </w:rPr>
              <w:t xml:space="preserve">         9,145,334 </w:t>
            </w:r>
          </w:p>
        </w:tc>
        <w:tc>
          <w:tcPr>
            <w:tcW w:w="1236" w:type="dxa"/>
            <w:tcBorders>
              <w:top w:val="nil"/>
              <w:left w:val="nil"/>
              <w:bottom w:val="nil"/>
              <w:right w:val="nil"/>
            </w:tcBorders>
            <w:shd w:val="clear" w:color="auto" w:fill="auto"/>
            <w:noWrap/>
            <w:vAlign w:val="bottom"/>
            <w:hideMark/>
          </w:tcPr>
          <w:p w14:paraId="3BF24DA9" w14:textId="77777777" w:rsidR="006E5119" w:rsidRPr="00F31385" w:rsidRDefault="006E5119" w:rsidP="006E5119">
            <w:pPr>
              <w:spacing w:after="0"/>
              <w:jc w:val="right"/>
              <w:rPr>
                <w:rFonts w:eastAsia="Times New Roman" w:cs="Times New Roman"/>
                <w:b/>
                <w:bCs/>
                <w:color w:val="000000"/>
              </w:rPr>
            </w:pPr>
            <w:r w:rsidRPr="00F31385">
              <w:rPr>
                <w:rFonts w:eastAsia="Times New Roman" w:cs="Times New Roman"/>
                <w:b/>
                <w:bCs/>
                <w:color w:val="000000"/>
              </w:rPr>
              <w:t xml:space="preserve">   10,596,325 </w:t>
            </w:r>
          </w:p>
        </w:tc>
        <w:tc>
          <w:tcPr>
            <w:tcW w:w="1416" w:type="dxa"/>
            <w:tcBorders>
              <w:top w:val="nil"/>
              <w:left w:val="nil"/>
              <w:bottom w:val="nil"/>
              <w:right w:val="nil"/>
            </w:tcBorders>
            <w:shd w:val="clear" w:color="auto" w:fill="auto"/>
            <w:noWrap/>
            <w:vAlign w:val="bottom"/>
            <w:hideMark/>
          </w:tcPr>
          <w:p w14:paraId="599A15C0" w14:textId="77777777" w:rsidR="006E5119" w:rsidRPr="00F31385" w:rsidRDefault="006E5119" w:rsidP="006E5119">
            <w:pPr>
              <w:spacing w:after="0"/>
              <w:jc w:val="right"/>
              <w:rPr>
                <w:rFonts w:eastAsia="Times New Roman" w:cs="Times New Roman"/>
                <w:b/>
                <w:bCs/>
                <w:color w:val="000000"/>
              </w:rPr>
            </w:pPr>
            <w:r w:rsidRPr="00F31385">
              <w:rPr>
                <w:rFonts w:eastAsia="Times New Roman" w:cs="Times New Roman"/>
                <w:b/>
                <w:bCs/>
                <w:color w:val="000000"/>
              </w:rPr>
              <w:t xml:space="preserve">         7,575,743 </w:t>
            </w:r>
          </w:p>
        </w:tc>
        <w:tc>
          <w:tcPr>
            <w:tcW w:w="1236" w:type="dxa"/>
            <w:tcBorders>
              <w:top w:val="nil"/>
              <w:left w:val="nil"/>
              <w:bottom w:val="nil"/>
              <w:right w:val="nil"/>
            </w:tcBorders>
            <w:shd w:val="clear" w:color="auto" w:fill="auto"/>
            <w:noWrap/>
            <w:vAlign w:val="bottom"/>
            <w:hideMark/>
          </w:tcPr>
          <w:p w14:paraId="074139ED" w14:textId="77777777" w:rsidR="006E5119" w:rsidRPr="00F31385" w:rsidRDefault="006E5119" w:rsidP="006E5119">
            <w:pPr>
              <w:spacing w:after="0"/>
              <w:jc w:val="right"/>
              <w:rPr>
                <w:rFonts w:eastAsia="Times New Roman" w:cs="Times New Roman"/>
                <w:b/>
                <w:bCs/>
                <w:color w:val="000000"/>
              </w:rPr>
            </w:pPr>
            <w:r w:rsidRPr="00F31385">
              <w:rPr>
                <w:rFonts w:eastAsia="Times New Roman" w:cs="Times New Roman"/>
                <w:b/>
                <w:bCs/>
                <w:color w:val="000000"/>
              </w:rPr>
              <w:t xml:space="preserve">   10,127,587 </w:t>
            </w:r>
          </w:p>
        </w:tc>
        <w:tc>
          <w:tcPr>
            <w:tcW w:w="1236" w:type="dxa"/>
            <w:tcBorders>
              <w:top w:val="nil"/>
              <w:left w:val="nil"/>
              <w:bottom w:val="nil"/>
              <w:right w:val="nil"/>
            </w:tcBorders>
            <w:shd w:val="clear" w:color="auto" w:fill="auto"/>
            <w:noWrap/>
            <w:vAlign w:val="bottom"/>
            <w:hideMark/>
          </w:tcPr>
          <w:p w14:paraId="6C57DE09" w14:textId="77777777" w:rsidR="006E5119" w:rsidRPr="00F31385" w:rsidRDefault="006E5119" w:rsidP="006E5119">
            <w:pPr>
              <w:spacing w:after="0"/>
              <w:jc w:val="right"/>
              <w:rPr>
                <w:rFonts w:eastAsia="Times New Roman" w:cs="Times New Roman"/>
                <w:b/>
                <w:bCs/>
                <w:color w:val="000000"/>
              </w:rPr>
            </w:pPr>
            <w:r w:rsidRPr="00F31385">
              <w:rPr>
                <w:rFonts w:eastAsia="Times New Roman" w:cs="Times New Roman"/>
                <w:b/>
                <w:bCs/>
                <w:color w:val="000000"/>
              </w:rPr>
              <w:t xml:space="preserve">     9,312,418 </w:t>
            </w:r>
          </w:p>
        </w:tc>
      </w:tr>
    </w:tbl>
    <w:p w14:paraId="1FD69481" w14:textId="77777777" w:rsidR="006E5119" w:rsidRPr="00F31385" w:rsidRDefault="006E5119" w:rsidP="006E5119">
      <w:pPr>
        <w:pStyle w:val="Caption"/>
        <w:keepNext/>
        <w:jc w:val="both"/>
        <w:rPr>
          <w:rFonts w:asciiTheme="minorHAnsi" w:hAnsiTheme="minorHAnsi"/>
        </w:rPr>
      </w:pPr>
    </w:p>
    <w:p w14:paraId="060BEB24" w14:textId="77777777" w:rsidR="006E5119" w:rsidRPr="00F31385" w:rsidRDefault="006E5119" w:rsidP="006E5119">
      <w:pPr>
        <w:jc w:val="both"/>
      </w:pPr>
      <w:r w:rsidRPr="00374498">
        <w:t>Data Source:</w:t>
      </w:r>
      <w:r w:rsidRPr="00F31385">
        <w:t xml:space="preserve"> Ministry of Finance, Department for Budget Monitoring</w:t>
      </w:r>
    </w:p>
    <w:p w14:paraId="12487921" w14:textId="77777777" w:rsidR="006E5119" w:rsidRPr="00F31385" w:rsidRDefault="006E5119" w:rsidP="006E5119">
      <w:pPr>
        <w:spacing w:before="120"/>
        <w:jc w:val="both"/>
        <w:rPr>
          <w:i/>
        </w:rPr>
      </w:pPr>
    </w:p>
    <w:p w14:paraId="015BB18C" w14:textId="77777777" w:rsidR="006E5119" w:rsidRDefault="006E5119" w:rsidP="006E5119">
      <w:pPr>
        <w:spacing w:before="120"/>
        <w:jc w:val="both"/>
      </w:pPr>
      <w:r w:rsidRPr="00F31385">
        <w:t xml:space="preserve">The </w:t>
      </w:r>
      <w:r w:rsidRPr="00B80EDF">
        <w:rPr>
          <w:b/>
          <w:i/>
        </w:rPr>
        <w:t>small business tax</w:t>
      </w:r>
      <w:r w:rsidRPr="00F31385">
        <w:t xml:space="preserve"> has represented for years the major fiscal revenue source for local governments. </w:t>
      </w:r>
      <w:r>
        <w:t>I</w:t>
      </w:r>
      <w:r w:rsidRPr="00F31385">
        <w:t xml:space="preserve">ts relative weight has </w:t>
      </w:r>
      <w:r>
        <w:t>however become less significant</w:t>
      </w:r>
      <w:r w:rsidRPr="00F31385">
        <w:t xml:space="preserve"> in recent years, </w:t>
      </w:r>
      <w:r>
        <w:t>falling from</w:t>
      </w:r>
      <w:r w:rsidRPr="00F31385">
        <w:t xml:space="preserve"> </w:t>
      </w:r>
      <w:r>
        <w:t>roughly</w:t>
      </w:r>
      <w:r w:rsidRPr="00F31385">
        <w:t xml:space="preserve"> 30% of total local tax revenues </w:t>
      </w:r>
      <w:r>
        <w:t xml:space="preserve">in 2010 </w:t>
      </w:r>
      <w:r w:rsidRPr="00F31385">
        <w:t xml:space="preserve">to less than 20% in 2012, following the decrease by half of the tax rate in late 2005 by the Parliament as well as other consecutive changes to the tax base and rate until 2010. From January 1 </w:t>
      </w:r>
      <w:r w:rsidRPr="00F61312">
        <w:t xml:space="preserve">2014, the small business tax was redefined as a tax on the profit of small businesses (7.5% of businesses with annual turnover up to 8 million </w:t>
      </w:r>
      <w:proofErr w:type="spellStart"/>
      <w:r w:rsidRPr="00F61312">
        <w:t>lek</w:t>
      </w:r>
      <w:proofErr w:type="spellEnd"/>
      <w:r w:rsidRPr="00F61312">
        <w:t>).</w:t>
      </w:r>
      <w:r w:rsidRPr="00F61312">
        <w:rPr>
          <w:rStyle w:val="FootnoteReference"/>
        </w:rPr>
        <w:footnoteReference w:id="9"/>
      </w:r>
      <w:r w:rsidRPr="00F61312">
        <w:t xml:space="preserve"> The small</w:t>
      </w:r>
      <w:r>
        <w:t xml:space="preserve"> business tax rate is now exclusively </w:t>
      </w:r>
      <w:r>
        <w:lastRenderedPageBreak/>
        <w:t>determined at the national level. Before 2014, local governments had some degree of discretion in setting small business tax rates: up to -30% and or +10% of indicative tax rates.</w:t>
      </w:r>
      <w:r>
        <w:rPr>
          <w:rStyle w:val="FootnoteReference"/>
        </w:rPr>
        <w:footnoteReference w:id="10"/>
      </w:r>
    </w:p>
    <w:p w14:paraId="35B6F112" w14:textId="77777777" w:rsidR="006E5119" w:rsidRPr="00F31385" w:rsidRDefault="006E5119" w:rsidP="006E5119">
      <w:pPr>
        <w:spacing w:before="120"/>
        <w:jc w:val="both"/>
      </w:pPr>
      <w:r>
        <w:t>The December 2013 changes in the fiscal legislation, including the Law on Local Tax System</w:t>
      </w:r>
      <w:r>
        <w:rPr>
          <w:rStyle w:val="FootnoteReference"/>
        </w:rPr>
        <w:footnoteReference w:id="11"/>
      </w:r>
      <w:r>
        <w:t xml:space="preserve"> also introduced changes in the administration of the small business tax. As of January </w:t>
      </w:r>
      <w:r w:rsidRPr="00F61312">
        <w:t>1 2014, administration</w:t>
      </w:r>
      <w:r w:rsidRPr="00F31385">
        <w:t xml:space="preserve"> was handed over to central tax authorities allegedly due to poor fiscal performance of local tax administration.</w:t>
      </w:r>
      <w:r>
        <w:t xml:space="preserve"> </w:t>
      </w:r>
      <w:r w:rsidRPr="00F31385">
        <w:t xml:space="preserve"> In terms of process efficiency, this may be considered as a positive move, given that the additional burden on central tax administration to handle small businesses </w:t>
      </w:r>
      <w:r>
        <w:t>should</w:t>
      </w:r>
      <w:r w:rsidRPr="00F31385">
        <w:t xml:space="preserve"> not </w:t>
      </w:r>
      <w:r>
        <w:t>be excessive</w:t>
      </w:r>
      <w:r w:rsidRPr="00F31385">
        <w:t xml:space="preserve"> </w:t>
      </w:r>
      <w:r>
        <w:t>given</w:t>
      </w:r>
      <w:r w:rsidRPr="00F31385">
        <w:t xml:space="preserve"> th</w:t>
      </w:r>
      <w:r>
        <w:t xml:space="preserve">at the Central Tax Authority </w:t>
      </w:r>
      <w:r w:rsidRPr="00F31385">
        <w:t>already handle</w:t>
      </w:r>
      <w:r>
        <w:t>s</w:t>
      </w:r>
      <w:r w:rsidRPr="00F31385">
        <w:t xml:space="preserve"> personnel social security tax files and VAT (Value Added Tax) files on behalf of </w:t>
      </w:r>
      <w:r>
        <w:t>small business</w:t>
      </w:r>
      <w:r w:rsidRPr="00F31385">
        <w:t xml:space="preserve"> subjects. Furthermore, local administration of small business tax created a potential distortion in the system</w:t>
      </w:r>
      <w:r>
        <w:t>. The 8 million turnover threshold that separated subjects that paid taxes to the local budgets from those that contributed to the national budget was an incentive for</w:t>
      </w:r>
      <w:r w:rsidRPr="00F31385">
        <w:t xml:space="preserve"> local tax authorities to accept </w:t>
      </w:r>
      <w:proofErr w:type="spellStart"/>
      <w:r w:rsidRPr="00F31385">
        <w:t>underdeclarations</w:t>
      </w:r>
      <w:proofErr w:type="spellEnd"/>
      <w:r w:rsidRPr="00F31385">
        <w:t xml:space="preserve"> by businesses in order to continue receiving tax proceeds to their own local budgets.</w:t>
      </w:r>
      <w:r>
        <w:t xml:space="preserve"> The small business tax had been administered locally since 2007. A slight fall in collections was evidenced during the first year, but performance later improved despite the frequent cuts in the tax rate. There are no official estimations of the fiscal potential from this tax, although anecdotal evidence suggests that reserves are considerable and enforcement could be strengthened.</w:t>
      </w:r>
    </w:p>
    <w:p w14:paraId="464B15A2" w14:textId="77777777" w:rsidR="006E5119" w:rsidRPr="00F31385" w:rsidRDefault="006E5119" w:rsidP="006E5119">
      <w:pPr>
        <w:spacing w:before="120"/>
        <w:jc w:val="both"/>
      </w:pPr>
    </w:p>
    <w:p w14:paraId="4989C1D7" w14:textId="77777777" w:rsidR="006E5119" w:rsidRPr="00F31385" w:rsidRDefault="006E5119" w:rsidP="006E5119">
      <w:pPr>
        <w:keepNext/>
        <w:spacing w:before="120"/>
        <w:jc w:val="both"/>
      </w:pPr>
      <w:r w:rsidRPr="00F31385">
        <w:rPr>
          <w:noProof/>
        </w:rPr>
        <w:drawing>
          <wp:inline distT="0" distB="0" distL="0" distR="0" wp14:anchorId="433E01C3" wp14:editId="3CD67347">
            <wp:extent cx="5943600" cy="278765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DE34B7" w14:textId="77777777" w:rsidR="006E5119" w:rsidRPr="00F31385" w:rsidRDefault="00314B3D" w:rsidP="00F61312">
      <w:pPr>
        <w:pStyle w:val="Caption"/>
        <w:rPr>
          <w:rFonts w:asciiTheme="minorHAnsi" w:hAnsiTheme="minorHAnsi"/>
          <w:sz w:val="22"/>
          <w:szCs w:val="22"/>
        </w:rPr>
      </w:pPr>
      <w:r>
        <w:t>Table</w:t>
      </w:r>
      <w:r w:rsidR="00F61312">
        <w:t xml:space="preserve"> </w:t>
      </w:r>
      <w:fldSimple w:instr=" SEQ Table \* ARABIC ">
        <w:r>
          <w:rPr>
            <w:noProof/>
          </w:rPr>
          <w:t>8</w:t>
        </w:r>
      </w:fldSimple>
      <w:r w:rsidR="006E5119" w:rsidRPr="00F31385">
        <w:rPr>
          <w:rFonts w:asciiTheme="minorHAnsi" w:hAnsiTheme="minorHAnsi"/>
          <w:sz w:val="22"/>
          <w:szCs w:val="22"/>
        </w:rPr>
        <w:t xml:space="preserve"> Composition of local revenues for the local government sample (% of total locally derived revenues)</w:t>
      </w:r>
    </w:p>
    <w:p w14:paraId="1B9921A1" w14:textId="77777777" w:rsidR="006E5119" w:rsidRPr="00F31385" w:rsidRDefault="006E5119" w:rsidP="006E5119">
      <w:pPr>
        <w:jc w:val="both"/>
      </w:pPr>
    </w:p>
    <w:p w14:paraId="5CABEC76" w14:textId="77777777" w:rsidR="006E5119" w:rsidRPr="00F31385" w:rsidRDefault="006E5119" w:rsidP="006E5119">
      <w:pPr>
        <w:keepNext/>
        <w:jc w:val="both"/>
      </w:pPr>
      <w:r w:rsidRPr="00F31385">
        <w:rPr>
          <w:noProof/>
        </w:rPr>
        <w:lastRenderedPageBreak/>
        <w:drawing>
          <wp:inline distT="0" distB="0" distL="0" distR="0" wp14:anchorId="0A1131AE" wp14:editId="50AB8D3E">
            <wp:extent cx="5943600" cy="2380615"/>
            <wp:effectExtent l="19050" t="0" r="19050" b="635"/>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9B55F0" w14:textId="77777777" w:rsidR="006E5119" w:rsidRPr="00F31385" w:rsidRDefault="00314B3D" w:rsidP="006E5119">
      <w:pPr>
        <w:pStyle w:val="Caption"/>
        <w:jc w:val="both"/>
        <w:rPr>
          <w:rFonts w:asciiTheme="minorHAnsi" w:hAnsiTheme="minorHAnsi"/>
        </w:rPr>
      </w:pPr>
      <w:proofErr w:type="gramStart"/>
      <w:r>
        <w:rPr>
          <w:rFonts w:asciiTheme="minorHAnsi" w:hAnsiTheme="minorHAnsi"/>
        </w:rPr>
        <w:t>Table</w:t>
      </w:r>
      <w:r w:rsidR="006E5119" w:rsidRPr="00F31385">
        <w:rPr>
          <w:rFonts w:asciiTheme="minorHAnsi" w:hAnsiTheme="minorHAnsi"/>
        </w:rPr>
        <w:t xml:space="preserv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noProof/>
        </w:rPr>
        <w:t>9</w:t>
      </w:r>
      <w:r>
        <w:rPr>
          <w:rFonts w:asciiTheme="minorHAnsi" w:hAnsiTheme="minorHAnsi"/>
        </w:rPr>
        <w:fldChar w:fldCharType="end"/>
      </w:r>
      <w:r w:rsidR="006E5119" w:rsidRPr="00F31385">
        <w:rPr>
          <w:rFonts w:asciiTheme="minorHAnsi" w:hAnsiTheme="minorHAnsi"/>
        </w:rPr>
        <w:t>.</w:t>
      </w:r>
      <w:proofErr w:type="gramEnd"/>
      <w:r w:rsidR="006E5119" w:rsidRPr="00F31385">
        <w:rPr>
          <w:rFonts w:asciiTheme="minorHAnsi" w:hAnsiTheme="minorHAnsi"/>
        </w:rPr>
        <w:t xml:space="preserve"> Performance of individual tax revenues 2008 – 2012: </w:t>
      </w:r>
      <w:r w:rsidR="0068434C">
        <w:rPr>
          <w:rFonts w:asciiTheme="minorHAnsi" w:hAnsiTheme="minorHAnsi"/>
        </w:rPr>
        <w:t xml:space="preserve">selected </w:t>
      </w:r>
      <w:r w:rsidR="006E5119" w:rsidRPr="00F31385">
        <w:rPr>
          <w:rFonts w:asciiTheme="minorHAnsi" w:hAnsiTheme="minorHAnsi"/>
        </w:rPr>
        <w:t>sample</w:t>
      </w:r>
    </w:p>
    <w:p w14:paraId="443CC7AE" w14:textId="77777777" w:rsidR="006E5119" w:rsidRDefault="006E5119" w:rsidP="006E5119"/>
    <w:p w14:paraId="6AC542D6" w14:textId="77777777" w:rsidR="006E5119" w:rsidRDefault="006E5119" w:rsidP="006E5119">
      <w:pPr>
        <w:jc w:val="both"/>
      </w:pPr>
      <w:r w:rsidRPr="00B80EDF">
        <w:rPr>
          <w:b/>
          <w:i/>
        </w:rPr>
        <w:t>Taxes on property</w:t>
      </w:r>
      <w:r w:rsidRPr="00F31385">
        <w:t xml:space="preserve"> (agricultural land and building tax)</w:t>
      </w:r>
      <w:r>
        <w:t xml:space="preserve"> </w:t>
      </w:r>
      <w:r w:rsidRPr="00F31385">
        <w:t>take up only a modest share of total local fiscal revenues. Performance in collection has however grown steadily and today they represent about 11% of total tax revenues at the local level. The tax base for the property tax is the surface area of the property (agricultural land and building in rural</w:t>
      </w:r>
      <w:r>
        <w:t xml:space="preserve"> and urban areas respectively). The </w:t>
      </w:r>
      <w:r w:rsidRPr="00F31385">
        <w:t xml:space="preserve">tax rate is defined by law as a flat amount per m2, depending on the location, type of use and quality/age of property, in an attempt to approximate market values. </w:t>
      </w:r>
      <w:r>
        <w:t>The i</w:t>
      </w:r>
      <w:r w:rsidRPr="00F31385">
        <w:t xml:space="preserve">ndicative tax rates </w:t>
      </w:r>
      <w:r>
        <w:t>were revised for the first time since</w:t>
      </w:r>
      <w:r w:rsidRPr="00F31385">
        <w:t xml:space="preserve"> 2002 </w:t>
      </w:r>
      <w:r>
        <w:t>in late 2013. The proposal</w:t>
      </w:r>
      <w:r w:rsidRPr="00F31385">
        <w:t xml:space="preserve"> to </w:t>
      </w:r>
      <w:r>
        <w:t xml:space="preserve">significantly </w:t>
      </w:r>
      <w:r w:rsidRPr="00F31385">
        <w:t>increase tax rate</w:t>
      </w:r>
      <w:r>
        <w:t>s</w:t>
      </w:r>
      <w:r w:rsidRPr="00F31385">
        <w:t xml:space="preserve"> for property</w:t>
      </w:r>
      <w:r>
        <w:t xml:space="preserve"> was</w:t>
      </w:r>
      <w:r w:rsidRPr="00F31385">
        <w:t xml:space="preserve"> rejected by Parliament</w:t>
      </w:r>
      <w:r>
        <w:t xml:space="preserve"> and tax rates have remained very modest. </w:t>
      </w:r>
      <w:r w:rsidRPr="00F31385">
        <w:t>The low indicative tax rates may serve as a disincentive for own tax collection efforts, given that administrative costs are high.</w:t>
      </w:r>
      <w:r>
        <w:t xml:space="preserve"> Positive improvements were introduced such as the provisions of imposing the double of the indicative tax rates for second properties. However, revisions to the tax base and rate scheme were insufficient and incomplete and may create distortions in terms of taxpayer equity.</w:t>
      </w:r>
      <w:r>
        <w:rPr>
          <w:rStyle w:val="FootnoteReference"/>
        </w:rPr>
        <w:footnoteReference w:id="12"/>
      </w:r>
      <w:r>
        <w:t xml:space="preserve"> This situation is unusual in as property taxes have for long been hailed as one of the most appropriate general tax sources for local governments, given that they do not create conditions for tax competition between local governments. </w:t>
      </w:r>
    </w:p>
    <w:p w14:paraId="2CA209C6" w14:textId="77777777" w:rsidR="006E5119" w:rsidRPr="00F31385" w:rsidRDefault="006E5119" w:rsidP="006E5119">
      <w:r>
        <w:t xml:space="preserve">From the administrative point of view, the tax base is visible and changes at a very slow pace, hence it should not be difficult to administer. </w:t>
      </w:r>
      <w:r w:rsidRPr="004E1A47">
        <w:t xml:space="preserve">However, property taxes have proven difficult and costly to administer well. </w:t>
      </w:r>
      <w:r>
        <w:t xml:space="preserve">This stems in particular from the fact that although the tax base is visible, tax subjects are often difficult to identify, especially in a country, which has had a booming construction sector for over one decade, a considerable part of which has been informal. Tax registers are not up to date and local governments encounter difficulties in obtaining information from the Immovable Property </w:t>
      </w:r>
      <w:r>
        <w:lastRenderedPageBreak/>
        <w:t>Registration Office (</w:t>
      </w:r>
      <w:proofErr w:type="spellStart"/>
      <w:r>
        <w:t>IPRO</w:t>
      </w:r>
      <w:proofErr w:type="spellEnd"/>
      <w:r>
        <w:t xml:space="preserve">). In recent years </w:t>
      </w:r>
      <w:proofErr w:type="spellStart"/>
      <w:r>
        <w:t>IPRO</w:t>
      </w:r>
      <w:proofErr w:type="spellEnd"/>
      <w:r>
        <w:t xml:space="preserve"> has been computerizing all its archives and databases and information exchange should become easier</w:t>
      </w:r>
      <w:r w:rsidR="0068434C">
        <w:t>.</w:t>
      </w:r>
    </w:p>
    <w:p w14:paraId="5F5DB87C" w14:textId="77777777" w:rsidR="006E5119" w:rsidRDefault="006E5119" w:rsidP="006E5119">
      <w:pPr>
        <w:spacing w:before="120"/>
        <w:jc w:val="both"/>
      </w:pPr>
      <w:r w:rsidRPr="00F31385">
        <w:t xml:space="preserve">There are no accurate estimates for the fiscal potential from the property taxes; however estimates indicate that the shortfall in actual collections would be of more than 70%. Collections from the building tax are higher, but there are still huge reserves – for instance, the building tax is not collected in the informal </w:t>
      </w:r>
      <w:proofErr w:type="spellStart"/>
      <w:r w:rsidRPr="00F31385">
        <w:t>peri</w:t>
      </w:r>
      <w:proofErr w:type="spellEnd"/>
      <w:r>
        <w:t>-</w:t>
      </w:r>
      <w:r w:rsidRPr="00F31385">
        <w:t xml:space="preserve">urban areas around larger cities. </w:t>
      </w:r>
      <w:r>
        <w:t>C</w:t>
      </w:r>
      <w:r w:rsidRPr="00F31385">
        <w:t>ollections from these two taxes have increased steadily from 2003 and observations from individual local governments indicate that there is increased focus on efforts for the improvemen</w:t>
      </w:r>
      <w:r>
        <w:t xml:space="preserve">t of collections from this tax. Underperformance in collection of property taxes may be attributable to a series of factors; of each the lack of accurate taxpayer databases is the most evident. However, it may be the </w:t>
      </w:r>
      <w:proofErr w:type="gramStart"/>
      <w:r>
        <w:t>case that in times of buoyant tax</w:t>
      </w:r>
      <w:proofErr w:type="gramEnd"/>
      <w:r>
        <w:t xml:space="preserve"> base and proceeds local governments have been inclined to rely on “easier” targets such as business taxes and intergovernmental taxes. It may not be a coincidence that there has been an almost 25% increase in property tax proceeds from 2009 to 2010, the first year when the “traditional” sources such as taxes and other service fees were drastically reduced by Parliament.</w:t>
      </w:r>
    </w:p>
    <w:p w14:paraId="297B58CC" w14:textId="77777777" w:rsidR="006E5119" w:rsidRDefault="006E5119" w:rsidP="006E5119">
      <w:pPr>
        <w:spacing w:before="120"/>
        <w:jc w:val="both"/>
      </w:pPr>
      <w:r w:rsidRPr="0068434C">
        <w:t>For years,</w:t>
      </w:r>
      <w:r>
        <w:t xml:space="preserve"> the </w:t>
      </w:r>
      <w:r w:rsidRPr="00B80EDF">
        <w:rPr>
          <w:b/>
          <w:i/>
        </w:rPr>
        <w:t>infrastructure impact tax</w:t>
      </w:r>
      <w:r>
        <w:t xml:space="preserve"> </w:t>
      </w:r>
      <w:r w:rsidRPr="0068434C">
        <w:t>was</w:t>
      </w:r>
      <w:r>
        <w:t xml:space="preserve"> one of the most important taxes for local budgets, accounting for up to 30-35% of total tax proceeds at the local level. It has lost its relative importance in the local budget in the recent years, following the economic downturn and shrinkage of the construction sector; and it now represents about 10% of total local government tax revenues. The tax base is the value of investment for construction/development, at a rate ranging from 1-3% of the value of investment (2-4% in Tirana). Administration is relatively easy for the infrastructure impact tax, given that payment is a precondition for the issuance of building and other development permits. However, problems have been identified with the definition of the tax base and rate (does not make a distinction for different types of development that create different needs for new infrastructure) and there is large room for interpretation of the term “value of investment”.</w:t>
      </w:r>
    </w:p>
    <w:p w14:paraId="7C0A4539" w14:textId="77777777" w:rsidR="006E5119" w:rsidRDefault="006E5119" w:rsidP="006E5119">
      <w:pPr>
        <w:spacing w:before="120"/>
        <w:jc w:val="both"/>
      </w:pPr>
      <w:r>
        <w:t xml:space="preserve">Proceeds for the infrastructure impact tax </w:t>
      </w:r>
      <w:r w:rsidRPr="0068434C">
        <w:t>are treated as a general tax</w:t>
      </w:r>
      <w:r w:rsidR="0068434C">
        <w:t xml:space="preserve"> and have been used to finance general operations of local governments, including </w:t>
      </w:r>
      <w:proofErr w:type="gramStart"/>
      <w:r w:rsidR="0068434C">
        <w:t>to subsidize</w:t>
      </w:r>
      <w:proofErr w:type="gramEnd"/>
      <w:r w:rsidR="0068434C">
        <w:t xml:space="preserve"> services and other current costs. The construction sector has experienced a boom in the last decade, resulting in a rapid urbanization and d expansion in the country’s residential building stock. Local governments have generally not succeeded in responding to the demand for new services and infrastructure created by these new urban developments through proper planning of investments. One way could be to use the tax on the impact on infrastructure of new construction to create contingent funding to support future investments. </w:t>
      </w:r>
      <w:r>
        <w:t>This is another case where there is room for improved accountability of local governments towards its taxpayers.</w:t>
      </w:r>
    </w:p>
    <w:p w14:paraId="310EA7F9" w14:textId="77777777" w:rsidR="006E5119" w:rsidRPr="00F31385" w:rsidRDefault="006E5119" w:rsidP="006E5119">
      <w:pPr>
        <w:spacing w:before="120"/>
        <w:jc w:val="both"/>
      </w:pPr>
      <w:r w:rsidRPr="00C32829">
        <w:rPr>
          <w:b/>
          <w:i/>
        </w:rPr>
        <w:t>Other taxes</w:t>
      </w:r>
      <w:r>
        <w:t xml:space="preserve"> include more modest revenue sources such as the public space tax; hotel taxes,</w:t>
      </w:r>
      <w:r w:rsidR="00314B3D">
        <w:t xml:space="preserve"> mineral tax (shared tax)</w:t>
      </w:r>
      <w:r>
        <w:t xml:space="preserve"> etc. The Vehicle Registration Tax (</w:t>
      </w:r>
      <w:proofErr w:type="spellStart"/>
      <w:r>
        <w:t>VRT</w:t>
      </w:r>
      <w:proofErr w:type="spellEnd"/>
      <w:r>
        <w:t>) was previously the second most important contributor to the local budget.</w:t>
      </w:r>
      <w:r w:rsidR="00314B3D">
        <w:t xml:space="preserve"> All proceeds from </w:t>
      </w:r>
      <w:proofErr w:type="spellStart"/>
      <w:r w:rsidR="00314B3D">
        <w:t>VRT</w:t>
      </w:r>
      <w:proofErr w:type="spellEnd"/>
      <w:r w:rsidR="00314B3D">
        <w:t xml:space="preserve"> were transferred to the local level, although this was a centrally administered tax.</w:t>
      </w:r>
      <w:r>
        <w:t xml:space="preserve"> </w:t>
      </w:r>
      <w:r w:rsidR="00454CD1">
        <w:t>In 2013</w:t>
      </w:r>
      <w:r>
        <w:t xml:space="preserve"> </w:t>
      </w:r>
      <w:r w:rsidR="00454CD1">
        <w:t xml:space="preserve">the </w:t>
      </w:r>
      <w:r>
        <w:t xml:space="preserve">vehicle registration tax </w:t>
      </w:r>
      <w:r w:rsidR="00454CD1">
        <w:t>and some other taxes on motor vehicles were abolished and a new combined tax on use of motor vehicles was introduced at the national level</w:t>
      </w:r>
      <w:r>
        <w:t xml:space="preserve">. </w:t>
      </w:r>
      <w:r w:rsidR="00454CD1">
        <w:t xml:space="preserve">The law established that 18% of the proceeds from the new tax on used motor vehicles </w:t>
      </w:r>
      <w:r w:rsidR="00454CD1">
        <w:lastRenderedPageBreak/>
        <w:t xml:space="preserve">should be transferred to local budget on an origin basis (depending on the place of registration of the taxpayer). The shared amount (18%) corresponds to the proceeds from the </w:t>
      </w:r>
      <w:proofErr w:type="spellStart"/>
      <w:r w:rsidR="00454CD1">
        <w:t>VRT</w:t>
      </w:r>
      <w:proofErr w:type="spellEnd"/>
      <w:r w:rsidR="00454CD1">
        <w:t xml:space="preserve"> before the redefinition of this tax</w:t>
      </w:r>
      <w:r>
        <w:t xml:space="preserve"> (</w:t>
      </w:r>
      <w:proofErr w:type="spellStart"/>
      <w:r w:rsidR="00454CD1">
        <w:t>VRT</w:t>
      </w:r>
      <w:proofErr w:type="spellEnd"/>
      <w:r w:rsidR="00454CD1">
        <w:t xml:space="preserve"> is </w:t>
      </w:r>
      <w:r>
        <w:t>featured under other local taxes in Table 3 and Figure 2)</w:t>
      </w:r>
      <w:r w:rsidR="00454CD1">
        <w:t xml:space="preserve">. Hence, </w:t>
      </w:r>
      <w:r w:rsidR="00314B3D">
        <w:t>the Used Vehicle Tax</w:t>
      </w:r>
      <w:r w:rsidR="00454CD1">
        <w:t xml:space="preserve"> is the first </w:t>
      </w:r>
      <w:r w:rsidR="00314B3D">
        <w:t xml:space="preserve">significant </w:t>
      </w:r>
      <w:r w:rsidR="00454CD1">
        <w:t xml:space="preserve">shared tax in the country, which is transferred from the national to local budgets on a derivation basis (by point of origin). </w:t>
      </w:r>
      <w:r w:rsidR="00314B3D">
        <w:t>Distribution of this tax is relatively uniform across the country.</w:t>
      </w:r>
    </w:p>
    <w:p w14:paraId="1A4ED67F" w14:textId="77777777" w:rsidR="006E5119" w:rsidRDefault="006E5119" w:rsidP="006E5119">
      <w:pPr>
        <w:spacing w:before="120"/>
        <w:jc w:val="both"/>
      </w:pPr>
      <w:r w:rsidRPr="00F31385">
        <w:t xml:space="preserve">The </w:t>
      </w:r>
      <w:r w:rsidRPr="00C32829">
        <w:rPr>
          <w:b/>
          <w:i/>
        </w:rPr>
        <w:t>cleaning (solid waste) fee</w:t>
      </w:r>
      <w:r w:rsidRPr="00F31385">
        <w:t xml:space="preserve"> represents the major fee revenue, and more than </w:t>
      </w:r>
      <w:r>
        <w:t>14</w:t>
      </w:r>
      <w:r w:rsidRPr="00F31385">
        <w:t xml:space="preserve">% of total tax revenues. Local governments, especially municipalities, which deliver a wider range of public services have exploited their autonomy and increased fee rates aiming at cost recovery for their services. </w:t>
      </w:r>
      <w:r>
        <w:t>Cleaning is typically the most important and most costly service that local governments in Albania perform. It remains heavily subsidized from the general budget of local government units, as service fees do not cover overall costs.</w:t>
      </w:r>
    </w:p>
    <w:p w14:paraId="5D879436" w14:textId="77777777" w:rsidR="006E5119" w:rsidRDefault="006E5119" w:rsidP="006E5119">
      <w:pPr>
        <w:spacing w:before="120"/>
        <w:jc w:val="both"/>
      </w:pPr>
      <w:r>
        <w:t xml:space="preserve">The local tax legislation in Albania is rather permissive as regards service fees. There is no specific regulation or nationally set </w:t>
      </w:r>
      <w:r w:rsidRPr="00314B3D">
        <w:t>indicative rates on service fees. The general principle governing service fees is valid also in Albania; it says that fees should be charged to service users up to service costs, not beyond. A dangerous precedent was</w:t>
      </w:r>
      <w:r>
        <w:t xml:space="preserve"> set in 2009 with the amendments to Law 9632 on the Local Tax System, which indicated </w:t>
      </w:r>
      <w:r w:rsidR="00314B3D">
        <w:t>that,</w:t>
      </w:r>
      <w:r>
        <w:t xml:space="preserve"> the sum of total taxes and fees charged on a business should not exceed 10% of the indicative Small Business Tax. This provision dangerously separated the concept of service fee from its actual costs. However, these errors were corrected and restrictions were lifted again with the fiscal package amendments that became effective as of January 1, 2014.</w:t>
      </w:r>
    </w:p>
    <w:p w14:paraId="354DBFCC" w14:textId="77777777" w:rsidR="006E5119" w:rsidRDefault="006E5119" w:rsidP="006E5119">
      <w:pPr>
        <w:spacing w:before="120"/>
        <w:jc w:val="both"/>
      </w:pPr>
      <w:r>
        <w:t>Table 4 indicates the dispersion in local per capita revenues in Tirana and the three local government groups (7 largest cities; 20 average and 20 small local governments). Interestingly, the average per capita revenues for the cleaning fee in the seven largest cities are not much higher then for the twenty average units, indicating that there may be larger fixed costs associated with this service for smaller local governments. The coefficient of variation in the dispersion of per capita revenues is not low for the average units (at 0.65) and rather high for the small local governments.</w:t>
      </w:r>
    </w:p>
    <w:p w14:paraId="02C3C955" w14:textId="77777777" w:rsidR="006E5119" w:rsidRDefault="006E5119" w:rsidP="006E5119">
      <w:pPr>
        <w:spacing w:before="120"/>
        <w:jc w:val="both"/>
      </w:pPr>
    </w:p>
    <w:p w14:paraId="2C0F7BA6" w14:textId="77777777" w:rsidR="006E5119" w:rsidRPr="00B44CF1" w:rsidRDefault="00314B3D" w:rsidP="00314B3D">
      <w:pPr>
        <w:pStyle w:val="Caption"/>
      </w:pPr>
      <w:r>
        <w:t xml:space="preserve">Table </w:t>
      </w:r>
      <w:fldSimple w:instr=" SEQ Table \* ARABIC ">
        <w:r>
          <w:rPr>
            <w:noProof/>
          </w:rPr>
          <w:t>10</w:t>
        </w:r>
      </w:fldSimple>
      <w:r w:rsidR="006E5119">
        <w:t xml:space="preserve"> Cleaning fee collections per capita in large, averag</w:t>
      </w:r>
      <w:r>
        <w:t>e and smaller local governments (selected sample)</w:t>
      </w:r>
    </w:p>
    <w:tbl>
      <w:tblPr>
        <w:tblW w:w="5000" w:type="pct"/>
        <w:tblLayout w:type="fixed"/>
        <w:tblLook w:val="04A0" w:firstRow="1" w:lastRow="0" w:firstColumn="1" w:lastColumn="0" w:noHBand="0" w:noVBand="1"/>
      </w:tblPr>
      <w:tblGrid>
        <w:gridCol w:w="2451"/>
        <w:gridCol w:w="1782"/>
        <w:gridCol w:w="1781"/>
        <w:gridCol w:w="1781"/>
        <w:gridCol w:w="1781"/>
      </w:tblGrid>
      <w:tr w:rsidR="006E5119" w:rsidRPr="00634078" w14:paraId="7E9CA006" w14:textId="77777777" w:rsidTr="006E5119">
        <w:trPr>
          <w:trHeight w:val="280"/>
        </w:trPr>
        <w:tc>
          <w:tcPr>
            <w:tcW w:w="1279" w:type="pct"/>
            <w:tcBorders>
              <w:top w:val="nil"/>
              <w:left w:val="nil"/>
              <w:bottom w:val="single" w:sz="4" w:space="0" w:color="auto"/>
              <w:right w:val="single" w:sz="4" w:space="0" w:color="auto"/>
            </w:tcBorders>
            <w:shd w:val="clear" w:color="auto" w:fill="auto"/>
            <w:noWrap/>
            <w:vAlign w:val="bottom"/>
            <w:hideMark/>
          </w:tcPr>
          <w:p w14:paraId="69076ADE" w14:textId="77777777" w:rsidR="00314B3D" w:rsidRPr="00314B3D" w:rsidRDefault="00314B3D" w:rsidP="006E5119">
            <w:pPr>
              <w:spacing w:after="0"/>
              <w:rPr>
                <w:rFonts w:ascii="Calibri" w:eastAsia="Times New Roman" w:hAnsi="Calibri" w:cs="Times New Roman"/>
                <w:b/>
                <w:color w:val="000000"/>
              </w:rPr>
            </w:pPr>
          </w:p>
          <w:p w14:paraId="5C9BB624" w14:textId="77777777" w:rsidR="006E5119" w:rsidRPr="00314B3D" w:rsidRDefault="006E5119" w:rsidP="006E5119">
            <w:pPr>
              <w:spacing w:after="0"/>
              <w:rPr>
                <w:rFonts w:ascii="Calibri" w:eastAsia="Times New Roman" w:hAnsi="Calibri" w:cs="Times New Roman"/>
                <w:b/>
                <w:color w:val="000000"/>
              </w:rPr>
            </w:pPr>
            <w:r w:rsidRPr="00314B3D">
              <w:rPr>
                <w:rFonts w:ascii="Calibri" w:eastAsia="Times New Roman" w:hAnsi="Calibri" w:cs="Times New Roman"/>
                <w:b/>
                <w:color w:val="000000"/>
              </w:rPr>
              <w:t>Cleaning fee/capita</w:t>
            </w:r>
          </w:p>
          <w:p w14:paraId="5CA767B5" w14:textId="77777777" w:rsidR="006E5119" w:rsidRPr="00314B3D" w:rsidRDefault="006E5119" w:rsidP="006E5119">
            <w:pPr>
              <w:spacing w:after="0"/>
              <w:rPr>
                <w:rFonts w:ascii="Calibri" w:eastAsia="Times New Roman" w:hAnsi="Calibri" w:cs="Times New Roman"/>
                <w:b/>
                <w:color w:val="000000"/>
              </w:rPr>
            </w:pPr>
          </w:p>
        </w:tc>
        <w:tc>
          <w:tcPr>
            <w:tcW w:w="930" w:type="pct"/>
            <w:tcBorders>
              <w:top w:val="nil"/>
              <w:left w:val="single" w:sz="4" w:space="0" w:color="auto"/>
              <w:bottom w:val="single" w:sz="4" w:space="0" w:color="auto"/>
              <w:right w:val="nil"/>
            </w:tcBorders>
            <w:shd w:val="clear" w:color="auto" w:fill="auto"/>
            <w:noWrap/>
            <w:vAlign w:val="bottom"/>
            <w:hideMark/>
          </w:tcPr>
          <w:p w14:paraId="1D42626C" w14:textId="77777777" w:rsidR="006E5119" w:rsidRPr="00314B3D" w:rsidRDefault="006E5119" w:rsidP="006E5119">
            <w:pPr>
              <w:spacing w:after="0"/>
              <w:jc w:val="center"/>
              <w:rPr>
                <w:rFonts w:ascii="Calibri" w:eastAsia="Times New Roman" w:hAnsi="Calibri" w:cs="Times New Roman"/>
                <w:b/>
                <w:color w:val="000000"/>
              </w:rPr>
            </w:pPr>
            <w:r w:rsidRPr="00314B3D">
              <w:rPr>
                <w:rFonts w:ascii="Calibri" w:eastAsia="Times New Roman" w:hAnsi="Calibri" w:cs="Times New Roman"/>
                <w:b/>
                <w:color w:val="000000"/>
              </w:rPr>
              <w:t>Tirana</w:t>
            </w:r>
          </w:p>
          <w:p w14:paraId="16C690A5" w14:textId="77777777" w:rsidR="006E5119" w:rsidRPr="00314B3D" w:rsidRDefault="006E5119" w:rsidP="006E5119">
            <w:pPr>
              <w:spacing w:after="0"/>
              <w:jc w:val="center"/>
              <w:rPr>
                <w:rFonts w:ascii="Calibri" w:eastAsia="Times New Roman" w:hAnsi="Calibri" w:cs="Times New Roman"/>
                <w:b/>
                <w:color w:val="000000"/>
              </w:rPr>
            </w:pPr>
          </w:p>
        </w:tc>
        <w:tc>
          <w:tcPr>
            <w:tcW w:w="930" w:type="pct"/>
            <w:tcBorders>
              <w:top w:val="nil"/>
              <w:left w:val="nil"/>
              <w:bottom w:val="single" w:sz="4" w:space="0" w:color="auto"/>
              <w:right w:val="nil"/>
            </w:tcBorders>
            <w:shd w:val="clear" w:color="auto" w:fill="auto"/>
            <w:noWrap/>
            <w:vAlign w:val="bottom"/>
            <w:hideMark/>
          </w:tcPr>
          <w:p w14:paraId="5AA7C163" w14:textId="77777777" w:rsidR="006E5119" w:rsidRPr="00314B3D" w:rsidRDefault="006E5119" w:rsidP="006E5119">
            <w:pPr>
              <w:spacing w:after="0"/>
              <w:jc w:val="center"/>
              <w:rPr>
                <w:rFonts w:ascii="Calibri" w:eastAsia="Times New Roman" w:hAnsi="Calibri" w:cs="Times New Roman"/>
                <w:b/>
                <w:color w:val="000000"/>
              </w:rPr>
            </w:pPr>
            <w:r w:rsidRPr="00314B3D">
              <w:rPr>
                <w:rFonts w:ascii="Calibri" w:eastAsia="Times New Roman" w:hAnsi="Calibri" w:cs="Times New Roman"/>
                <w:b/>
                <w:color w:val="000000"/>
              </w:rPr>
              <w:t>7 largest</w:t>
            </w:r>
          </w:p>
          <w:p w14:paraId="70B2DCB0" w14:textId="77777777" w:rsidR="006E5119" w:rsidRPr="00314B3D" w:rsidRDefault="006E5119" w:rsidP="006E5119">
            <w:pPr>
              <w:spacing w:after="0"/>
              <w:jc w:val="center"/>
              <w:rPr>
                <w:rFonts w:ascii="Calibri" w:eastAsia="Times New Roman" w:hAnsi="Calibri" w:cs="Times New Roman"/>
                <w:b/>
                <w:color w:val="000000"/>
              </w:rPr>
            </w:pPr>
          </w:p>
        </w:tc>
        <w:tc>
          <w:tcPr>
            <w:tcW w:w="930" w:type="pct"/>
            <w:tcBorders>
              <w:top w:val="nil"/>
              <w:left w:val="nil"/>
              <w:bottom w:val="single" w:sz="4" w:space="0" w:color="auto"/>
              <w:right w:val="nil"/>
            </w:tcBorders>
            <w:shd w:val="clear" w:color="auto" w:fill="auto"/>
            <w:noWrap/>
            <w:vAlign w:val="bottom"/>
            <w:hideMark/>
          </w:tcPr>
          <w:p w14:paraId="18C93118" w14:textId="77777777" w:rsidR="006E5119" w:rsidRPr="00314B3D" w:rsidRDefault="006E5119" w:rsidP="006E5119">
            <w:pPr>
              <w:spacing w:after="0"/>
              <w:jc w:val="center"/>
              <w:rPr>
                <w:rFonts w:ascii="Calibri" w:eastAsia="Times New Roman" w:hAnsi="Calibri" w:cs="Times New Roman"/>
                <w:b/>
                <w:color w:val="000000"/>
              </w:rPr>
            </w:pPr>
            <w:r w:rsidRPr="00314B3D">
              <w:rPr>
                <w:rFonts w:ascii="Calibri" w:eastAsia="Times New Roman" w:hAnsi="Calibri" w:cs="Times New Roman"/>
                <w:b/>
                <w:color w:val="000000"/>
              </w:rPr>
              <w:t>20 average</w:t>
            </w:r>
          </w:p>
          <w:p w14:paraId="796D2195" w14:textId="77777777" w:rsidR="006E5119" w:rsidRPr="00314B3D" w:rsidRDefault="006E5119" w:rsidP="006E5119">
            <w:pPr>
              <w:spacing w:after="0"/>
              <w:jc w:val="center"/>
              <w:rPr>
                <w:rFonts w:ascii="Calibri" w:eastAsia="Times New Roman" w:hAnsi="Calibri" w:cs="Times New Roman"/>
                <w:b/>
                <w:color w:val="000000"/>
              </w:rPr>
            </w:pPr>
          </w:p>
        </w:tc>
        <w:tc>
          <w:tcPr>
            <w:tcW w:w="930" w:type="pct"/>
            <w:tcBorders>
              <w:top w:val="nil"/>
              <w:left w:val="nil"/>
              <w:bottom w:val="single" w:sz="4" w:space="0" w:color="auto"/>
              <w:right w:val="nil"/>
            </w:tcBorders>
            <w:shd w:val="clear" w:color="auto" w:fill="auto"/>
            <w:noWrap/>
            <w:vAlign w:val="bottom"/>
            <w:hideMark/>
          </w:tcPr>
          <w:p w14:paraId="6AAE5659" w14:textId="77777777" w:rsidR="006E5119" w:rsidRPr="00314B3D" w:rsidRDefault="006E5119" w:rsidP="006E5119">
            <w:pPr>
              <w:spacing w:after="0"/>
              <w:jc w:val="center"/>
              <w:rPr>
                <w:rFonts w:ascii="Calibri" w:eastAsia="Times New Roman" w:hAnsi="Calibri" w:cs="Times New Roman"/>
                <w:b/>
                <w:color w:val="000000"/>
              </w:rPr>
            </w:pPr>
            <w:r w:rsidRPr="00314B3D">
              <w:rPr>
                <w:rFonts w:ascii="Calibri" w:eastAsia="Times New Roman" w:hAnsi="Calibri" w:cs="Times New Roman"/>
                <w:b/>
                <w:color w:val="000000"/>
              </w:rPr>
              <w:t>20 small</w:t>
            </w:r>
          </w:p>
          <w:p w14:paraId="3D339309" w14:textId="77777777" w:rsidR="006E5119" w:rsidRPr="00314B3D" w:rsidRDefault="006E5119" w:rsidP="006E5119">
            <w:pPr>
              <w:spacing w:after="0"/>
              <w:jc w:val="center"/>
              <w:rPr>
                <w:rFonts w:ascii="Calibri" w:eastAsia="Times New Roman" w:hAnsi="Calibri" w:cs="Times New Roman"/>
                <w:b/>
                <w:color w:val="000000"/>
              </w:rPr>
            </w:pPr>
          </w:p>
        </w:tc>
      </w:tr>
      <w:tr w:rsidR="006E5119" w:rsidRPr="00634078" w14:paraId="28E90417" w14:textId="77777777" w:rsidTr="006E5119">
        <w:trPr>
          <w:trHeight w:val="280"/>
        </w:trPr>
        <w:tc>
          <w:tcPr>
            <w:tcW w:w="1279" w:type="pct"/>
            <w:tcBorders>
              <w:top w:val="single" w:sz="4" w:space="0" w:color="auto"/>
              <w:left w:val="nil"/>
              <w:bottom w:val="nil"/>
              <w:right w:val="single" w:sz="4" w:space="0" w:color="auto"/>
            </w:tcBorders>
            <w:shd w:val="clear" w:color="auto" w:fill="auto"/>
            <w:noWrap/>
            <w:vAlign w:val="bottom"/>
            <w:hideMark/>
          </w:tcPr>
          <w:p w14:paraId="59B40BA0" w14:textId="77777777" w:rsidR="006E5119" w:rsidRPr="00634078" w:rsidRDefault="006E5119" w:rsidP="006E5119">
            <w:pPr>
              <w:spacing w:after="0"/>
              <w:rPr>
                <w:rFonts w:ascii="Calibri" w:eastAsia="Times New Roman" w:hAnsi="Calibri" w:cs="Times New Roman"/>
                <w:color w:val="000000"/>
              </w:rPr>
            </w:pPr>
            <w:r w:rsidRPr="00634078">
              <w:rPr>
                <w:rFonts w:ascii="Calibri" w:eastAsia="Times New Roman" w:hAnsi="Calibri" w:cs="Times New Roman"/>
                <w:color w:val="000000"/>
              </w:rPr>
              <w:t>Average</w:t>
            </w:r>
          </w:p>
        </w:tc>
        <w:tc>
          <w:tcPr>
            <w:tcW w:w="930" w:type="pct"/>
            <w:tcBorders>
              <w:top w:val="single" w:sz="4" w:space="0" w:color="auto"/>
              <w:left w:val="single" w:sz="4" w:space="0" w:color="auto"/>
              <w:bottom w:val="nil"/>
              <w:right w:val="nil"/>
            </w:tcBorders>
            <w:shd w:val="clear" w:color="auto" w:fill="auto"/>
            <w:noWrap/>
            <w:vAlign w:val="bottom"/>
            <w:hideMark/>
          </w:tcPr>
          <w:p w14:paraId="6B2EE64B"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1203</w:t>
            </w:r>
          </w:p>
        </w:tc>
        <w:tc>
          <w:tcPr>
            <w:tcW w:w="930" w:type="pct"/>
            <w:tcBorders>
              <w:top w:val="single" w:sz="4" w:space="0" w:color="auto"/>
              <w:left w:val="nil"/>
              <w:bottom w:val="nil"/>
              <w:right w:val="nil"/>
            </w:tcBorders>
            <w:shd w:val="clear" w:color="auto" w:fill="auto"/>
            <w:noWrap/>
            <w:vAlign w:val="bottom"/>
            <w:hideMark/>
          </w:tcPr>
          <w:p w14:paraId="0145BE0A"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449</w:t>
            </w:r>
          </w:p>
        </w:tc>
        <w:tc>
          <w:tcPr>
            <w:tcW w:w="930" w:type="pct"/>
            <w:tcBorders>
              <w:top w:val="single" w:sz="4" w:space="0" w:color="auto"/>
              <w:left w:val="nil"/>
              <w:bottom w:val="nil"/>
              <w:right w:val="nil"/>
            </w:tcBorders>
            <w:shd w:val="clear" w:color="auto" w:fill="auto"/>
            <w:noWrap/>
            <w:vAlign w:val="bottom"/>
            <w:hideMark/>
          </w:tcPr>
          <w:p w14:paraId="6B984399"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400</w:t>
            </w:r>
          </w:p>
        </w:tc>
        <w:tc>
          <w:tcPr>
            <w:tcW w:w="930" w:type="pct"/>
            <w:tcBorders>
              <w:top w:val="single" w:sz="4" w:space="0" w:color="auto"/>
              <w:left w:val="nil"/>
              <w:bottom w:val="nil"/>
              <w:right w:val="nil"/>
            </w:tcBorders>
            <w:shd w:val="clear" w:color="auto" w:fill="auto"/>
            <w:noWrap/>
            <w:vAlign w:val="bottom"/>
            <w:hideMark/>
          </w:tcPr>
          <w:p w14:paraId="4B6626BD"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129</w:t>
            </w:r>
          </w:p>
        </w:tc>
      </w:tr>
      <w:tr w:rsidR="006E5119" w:rsidRPr="00634078" w14:paraId="24FB9285" w14:textId="77777777" w:rsidTr="006E5119">
        <w:trPr>
          <w:trHeight w:val="280"/>
        </w:trPr>
        <w:tc>
          <w:tcPr>
            <w:tcW w:w="1279" w:type="pct"/>
            <w:tcBorders>
              <w:top w:val="nil"/>
              <w:left w:val="nil"/>
              <w:bottom w:val="nil"/>
              <w:right w:val="single" w:sz="4" w:space="0" w:color="auto"/>
            </w:tcBorders>
            <w:shd w:val="clear" w:color="auto" w:fill="auto"/>
            <w:noWrap/>
            <w:vAlign w:val="bottom"/>
            <w:hideMark/>
          </w:tcPr>
          <w:p w14:paraId="0E4EC19F" w14:textId="77777777" w:rsidR="006E5119" w:rsidRPr="00634078" w:rsidRDefault="006E5119" w:rsidP="006E5119">
            <w:pPr>
              <w:spacing w:after="0"/>
              <w:rPr>
                <w:rFonts w:ascii="Calibri" w:eastAsia="Times New Roman" w:hAnsi="Calibri" w:cs="Times New Roman"/>
                <w:color w:val="000000"/>
              </w:rPr>
            </w:pPr>
            <w:r w:rsidRPr="00634078">
              <w:rPr>
                <w:rFonts w:ascii="Calibri" w:eastAsia="Times New Roman" w:hAnsi="Calibri" w:cs="Times New Roman"/>
                <w:color w:val="000000"/>
              </w:rPr>
              <w:t>Min</w:t>
            </w:r>
          </w:p>
        </w:tc>
        <w:tc>
          <w:tcPr>
            <w:tcW w:w="930" w:type="pct"/>
            <w:tcBorders>
              <w:top w:val="nil"/>
              <w:left w:val="single" w:sz="4" w:space="0" w:color="auto"/>
              <w:bottom w:val="nil"/>
              <w:right w:val="nil"/>
            </w:tcBorders>
            <w:shd w:val="clear" w:color="auto" w:fill="auto"/>
            <w:noWrap/>
            <w:vAlign w:val="bottom"/>
            <w:hideMark/>
          </w:tcPr>
          <w:p w14:paraId="7E66AD60" w14:textId="77777777" w:rsidR="006E5119" w:rsidRPr="00634078" w:rsidRDefault="006E5119" w:rsidP="006E5119">
            <w:pPr>
              <w:spacing w:after="0"/>
              <w:jc w:val="center"/>
              <w:rPr>
                <w:rFonts w:ascii="Calibri" w:eastAsia="Times New Roman" w:hAnsi="Calibri" w:cs="Times New Roman"/>
                <w:color w:val="000000"/>
              </w:rPr>
            </w:pPr>
            <w:proofErr w:type="gramStart"/>
            <w:r w:rsidRPr="00634078">
              <w:rPr>
                <w:rFonts w:ascii="Calibri" w:eastAsia="Times New Roman" w:hAnsi="Calibri" w:cs="Times New Roman"/>
                <w:color w:val="000000"/>
              </w:rPr>
              <w:t>n</w:t>
            </w:r>
            <w:proofErr w:type="gramEnd"/>
            <w:r w:rsidRPr="00634078">
              <w:rPr>
                <w:rFonts w:ascii="Calibri" w:eastAsia="Times New Roman" w:hAnsi="Calibri" w:cs="Times New Roman"/>
                <w:color w:val="000000"/>
              </w:rPr>
              <w:t>/a</w:t>
            </w:r>
          </w:p>
        </w:tc>
        <w:tc>
          <w:tcPr>
            <w:tcW w:w="930" w:type="pct"/>
            <w:tcBorders>
              <w:top w:val="nil"/>
              <w:left w:val="nil"/>
              <w:bottom w:val="nil"/>
              <w:right w:val="nil"/>
            </w:tcBorders>
            <w:shd w:val="clear" w:color="auto" w:fill="auto"/>
            <w:noWrap/>
            <w:vAlign w:val="bottom"/>
            <w:hideMark/>
          </w:tcPr>
          <w:p w14:paraId="44163A0E"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309</w:t>
            </w:r>
          </w:p>
        </w:tc>
        <w:tc>
          <w:tcPr>
            <w:tcW w:w="930" w:type="pct"/>
            <w:tcBorders>
              <w:top w:val="nil"/>
              <w:left w:val="nil"/>
              <w:bottom w:val="nil"/>
              <w:right w:val="nil"/>
            </w:tcBorders>
            <w:shd w:val="clear" w:color="auto" w:fill="auto"/>
            <w:noWrap/>
            <w:vAlign w:val="bottom"/>
            <w:hideMark/>
          </w:tcPr>
          <w:p w14:paraId="23BE006E"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138</w:t>
            </w:r>
          </w:p>
        </w:tc>
        <w:tc>
          <w:tcPr>
            <w:tcW w:w="930" w:type="pct"/>
            <w:tcBorders>
              <w:top w:val="nil"/>
              <w:left w:val="nil"/>
              <w:bottom w:val="nil"/>
              <w:right w:val="nil"/>
            </w:tcBorders>
            <w:shd w:val="clear" w:color="auto" w:fill="auto"/>
            <w:noWrap/>
            <w:vAlign w:val="bottom"/>
            <w:hideMark/>
          </w:tcPr>
          <w:p w14:paraId="4B235187"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0</w:t>
            </w:r>
          </w:p>
        </w:tc>
      </w:tr>
      <w:tr w:rsidR="006E5119" w:rsidRPr="00634078" w14:paraId="720C35C0" w14:textId="77777777" w:rsidTr="006E5119">
        <w:trPr>
          <w:trHeight w:val="280"/>
        </w:trPr>
        <w:tc>
          <w:tcPr>
            <w:tcW w:w="1279" w:type="pct"/>
            <w:tcBorders>
              <w:top w:val="nil"/>
              <w:left w:val="nil"/>
              <w:bottom w:val="nil"/>
              <w:right w:val="single" w:sz="4" w:space="0" w:color="auto"/>
            </w:tcBorders>
            <w:shd w:val="clear" w:color="auto" w:fill="auto"/>
            <w:noWrap/>
            <w:vAlign w:val="bottom"/>
            <w:hideMark/>
          </w:tcPr>
          <w:p w14:paraId="6230B010" w14:textId="77777777" w:rsidR="006E5119" w:rsidRPr="00634078" w:rsidRDefault="006E5119" w:rsidP="006E5119">
            <w:pPr>
              <w:spacing w:after="0"/>
              <w:rPr>
                <w:rFonts w:ascii="Calibri" w:eastAsia="Times New Roman" w:hAnsi="Calibri" w:cs="Times New Roman"/>
                <w:color w:val="000000"/>
              </w:rPr>
            </w:pPr>
            <w:r w:rsidRPr="00634078">
              <w:rPr>
                <w:rFonts w:ascii="Calibri" w:eastAsia="Times New Roman" w:hAnsi="Calibri" w:cs="Times New Roman"/>
                <w:color w:val="000000"/>
              </w:rPr>
              <w:t>Max</w:t>
            </w:r>
          </w:p>
        </w:tc>
        <w:tc>
          <w:tcPr>
            <w:tcW w:w="930" w:type="pct"/>
            <w:tcBorders>
              <w:top w:val="nil"/>
              <w:left w:val="single" w:sz="4" w:space="0" w:color="auto"/>
              <w:bottom w:val="nil"/>
              <w:right w:val="nil"/>
            </w:tcBorders>
            <w:shd w:val="clear" w:color="auto" w:fill="auto"/>
            <w:noWrap/>
            <w:vAlign w:val="bottom"/>
            <w:hideMark/>
          </w:tcPr>
          <w:p w14:paraId="00DF350D" w14:textId="77777777" w:rsidR="006E5119" w:rsidRPr="00634078" w:rsidRDefault="006E5119" w:rsidP="006E5119">
            <w:pPr>
              <w:spacing w:after="0"/>
              <w:jc w:val="center"/>
              <w:rPr>
                <w:rFonts w:ascii="Calibri" w:eastAsia="Times New Roman" w:hAnsi="Calibri" w:cs="Times New Roman"/>
                <w:color w:val="000000"/>
              </w:rPr>
            </w:pPr>
            <w:proofErr w:type="gramStart"/>
            <w:r w:rsidRPr="00634078">
              <w:rPr>
                <w:rFonts w:ascii="Calibri" w:eastAsia="Times New Roman" w:hAnsi="Calibri" w:cs="Times New Roman"/>
                <w:color w:val="000000"/>
              </w:rPr>
              <w:t>n</w:t>
            </w:r>
            <w:proofErr w:type="gramEnd"/>
            <w:r w:rsidRPr="00634078">
              <w:rPr>
                <w:rFonts w:ascii="Calibri" w:eastAsia="Times New Roman" w:hAnsi="Calibri" w:cs="Times New Roman"/>
                <w:color w:val="000000"/>
              </w:rPr>
              <w:t>/a</w:t>
            </w:r>
          </w:p>
        </w:tc>
        <w:tc>
          <w:tcPr>
            <w:tcW w:w="930" w:type="pct"/>
            <w:tcBorders>
              <w:top w:val="nil"/>
              <w:left w:val="nil"/>
              <w:bottom w:val="nil"/>
              <w:right w:val="nil"/>
            </w:tcBorders>
            <w:shd w:val="clear" w:color="auto" w:fill="auto"/>
            <w:noWrap/>
            <w:vAlign w:val="bottom"/>
            <w:hideMark/>
          </w:tcPr>
          <w:p w14:paraId="0E02E208"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727</w:t>
            </w:r>
          </w:p>
        </w:tc>
        <w:tc>
          <w:tcPr>
            <w:tcW w:w="930" w:type="pct"/>
            <w:tcBorders>
              <w:top w:val="nil"/>
              <w:left w:val="nil"/>
              <w:bottom w:val="nil"/>
              <w:right w:val="nil"/>
            </w:tcBorders>
            <w:shd w:val="clear" w:color="auto" w:fill="auto"/>
            <w:noWrap/>
            <w:vAlign w:val="bottom"/>
            <w:hideMark/>
          </w:tcPr>
          <w:p w14:paraId="1FA60A20"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1,390</w:t>
            </w:r>
          </w:p>
        </w:tc>
        <w:tc>
          <w:tcPr>
            <w:tcW w:w="930" w:type="pct"/>
            <w:tcBorders>
              <w:top w:val="nil"/>
              <w:left w:val="nil"/>
              <w:bottom w:val="nil"/>
              <w:right w:val="nil"/>
            </w:tcBorders>
            <w:shd w:val="clear" w:color="auto" w:fill="auto"/>
            <w:noWrap/>
            <w:vAlign w:val="bottom"/>
            <w:hideMark/>
          </w:tcPr>
          <w:p w14:paraId="3FDF3BF6"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516</w:t>
            </w:r>
          </w:p>
        </w:tc>
      </w:tr>
      <w:tr w:rsidR="006E5119" w:rsidRPr="00634078" w14:paraId="2B1BB4ED" w14:textId="77777777" w:rsidTr="006E5119">
        <w:trPr>
          <w:trHeight w:val="280"/>
        </w:trPr>
        <w:tc>
          <w:tcPr>
            <w:tcW w:w="1279" w:type="pct"/>
            <w:tcBorders>
              <w:top w:val="nil"/>
              <w:left w:val="nil"/>
              <w:bottom w:val="nil"/>
              <w:right w:val="single" w:sz="4" w:space="0" w:color="auto"/>
            </w:tcBorders>
            <w:shd w:val="clear" w:color="auto" w:fill="auto"/>
            <w:noWrap/>
            <w:vAlign w:val="bottom"/>
            <w:hideMark/>
          </w:tcPr>
          <w:p w14:paraId="59770620" w14:textId="77777777" w:rsidR="006E5119" w:rsidRPr="00634078" w:rsidRDefault="006E5119" w:rsidP="006E5119">
            <w:pPr>
              <w:spacing w:after="0"/>
              <w:rPr>
                <w:rFonts w:ascii="Calibri" w:eastAsia="Times New Roman" w:hAnsi="Calibri" w:cs="Times New Roman"/>
                <w:color w:val="000000"/>
              </w:rPr>
            </w:pPr>
            <w:proofErr w:type="spellStart"/>
            <w:r w:rsidRPr="00634078">
              <w:rPr>
                <w:rFonts w:ascii="Calibri" w:eastAsia="Times New Roman" w:hAnsi="Calibri" w:cs="Times New Roman"/>
                <w:color w:val="000000"/>
              </w:rPr>
              <w:t>STDEV</w:t>
            </w:r>
            <w:proofErr w:type="spellEnd"/>
          </w:p>
        </w:tc>
        <w:tc>
          <w:tcPr>
            <w:tcW w:w="930" w:type="pct"/>
            <w:tcBorders>
              <w:top w:val="nil"/>
              <w:left w:val="single" w:sz="4" w:space="0" w:color="auto"/>
              <w:bottom w:val="nil"/>
              <w:right w:val="nil"/>
            </w:tcBorders>
            <w:shd w:val="clear" w:color="auto" w:fill="auto"/>
            <w:noWrap/>
            <w:vAlign w:val="bottom"/>
            <w:hideMark/>
          </w:tcPr>
          <w:p w14:paraId="4632F1BC" w14:textId="77777777" w:rsidR="006E5119" w:rsidRPr="00634078" w:rsidRDefault="006E5119" w:rsidP="006E5119">
            <w:pPr>
              <w:spacing w:after="0"/>
              <w:jc w:val="center"/>
              <w:rPr>
                <w:rFonts w:ascii="Calibri" w:eastAsia="Times New Roman" w:hAnsi="Calibri" w:cs="Times New Roman"/>
                <w:color w:val="000000"/>
              </w:rPr>
            </w:pPr>
            <w:proofErr w:type="gramStart"/>
            <w:r w:rsidRPr="00634078">
              <w:rPr>
                <w:rFonts w:ascii="Calibri" w:eastAsia="Times New Roman" w:hAnsi="Calibri" w:cs="Times New Roman"/>
                <w:color w:val="000000"/>
              </w:rPr>
              <w:t>n</w:t>
            </w:r>
            <w:proofErr w:type="gramEnd"/>
            <w:r w:rsidRPr="00634078">
              <w:rPr>
                <w:rFonts w:ascii="Calibri" w:eastAsia="Times New Roman" w:hAnsi="Calibri" w:cs="Times New Roman"/>
                <w:color w:val="000000"/>
              </w:rPr>
              <w:t>/a</w:t>
            </w:r>
          </w:p>
        </w:tc>
        <w:tc>
          <w:tcPr>
            <w:tcW w:w="930" w:type="pct"/>
            <w:tcBorders>
              <w:top w:val="nil"/>
              <w:left w:val="nil"/>
              <w:bottom w:val="nil"/>
              <w:right w:val="nil"/>
            </w:tcBorders>
            <w:shd w:val="clear" w:color="auto" w:fill="auto"/>
            <w:noWrap/>
            <w:vAlign w:val="bottom"/>
            <w:hideMark/>
          </w:tcPr>
          <w:p w14:paraId="2B7099A8"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151</w:t>
            </w:r>
          </w:p>
        </w:tc>
        <w:tc>
          <w:tcPr>
            <w:tcW w:w="930" w:type="pct"/>
            <w:tcBorders>
              <w:top w:val="nil"/>
              <w:left w:val="nil"/>
              <w:bottom w:val="nil"/>
              <w:right w:val="nil"/>
            </w:tcBorders>
            <w:shd w:val="clear" w:color="auto" w:fill="auto"/>
            <w:noWrap/>
            <w:vAlign w:val="bottom"/>
            <w:hideMark/>
          </w:tcPr>
          <w:p w14:paraId="19C38C23"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261</w:t>
            </w:r>
          </w:p>
        </w:tc>
        <w:tc>
          <w:tcPr>
            <w:tcW w:w="930" w:type="pct"/>
            <w:tcBorders>
              <w:top w:val="nil"/>
              <w:left w:val="nil"/>
              <w:bottom w:val="nil"/>
              <w:right w:val="nil"/>
            </w:tcBorders>
            <w:shd w:val="clear" w:color="auto" w:fill="auto"/>
            <w:noWrap/>
            <w:vAlign w:val="bottom"/>
            <w:hideMark/>
          </w:tcPr>
          <w:p w14:paraId="7DE3E6D7"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148</w:t>
            </w:r>
          </w:p>
        </w:tc>
      </w:tr>
      <w:tr w:rsidR="006E5119" w:rsidRPr="00634078" w14:paraId="2B4CB509" w14:textId="77777777" w:rsidTr="006E5119">
        <w:trPr>
          <w:trHeight w:val="280"/>
        </w:trPr>
        <w:tc>
          <w:tcPr>
            <w:tcW w:w="1279" w:type="pct"/>
            <w:tcBorders>
              <w:top w:val="nil"/>
              <w:left w:val="nil"/>
              <w:right w:val="single" w:sz="4" w:space="0" w:color="auto"/>
            </w:tcBorders>
            <w:shd w:val="clear" w:color="auto" w:fill="auto"/>
            <w:noWrap/>
            <w:vAlign w:val="bottom"/>
            <w:hideMark/>
          </w:tcPr>
          <w:p w14:paraId="60F8B473" w14:textId="77777777" w:rsidR="006E5119" w:rsidRPr="00634078" w:rsidRDefault="006E5119" w:rsidP="006E5119">
            <w:pPr>
              <w:spacing w:after="0"/>
              <w:rPr>
                <w:rFonts w:ascii="Calibri" w:eastAsia="Times New Roman" w:hAnsi="Calibri" w:cs="Times New Roman"/>
                <w:color w:val="000000"/>
              </w:rPr>
            </w:pPr>
            <w:r w:rsidRPr="00634078">
              <w:rPr>
                <w:rFonts w:ascii="Calibri" w:eastAsia="Times New Roman" w:hAnsi="Calibri" w:cs="Times New Roman"/>
                <w:color w:val="000000"/>
              </w:rPr>
              <w:t>CV</w:t>
            </w:r>
          </w:p>
        </w:tc>
        <w:tc>
          <w:tcPr>
            <w:tcW w:w="930" w:type="pct"/>
            <w:tcBorders>
              <w:top w:val="nil"/>
              <w:left w:val="single" w:sz="4" w:space="0" w:color="auto"/>
              <w:right w:val="nil"/>
            </w:tcBorders>
            <w:shd w:val="clear" w:color="auto" w:fill="auto"/>
            <w:noWrap/>
            <w:vAlign w:val="bottom"/>
            <w:hideMark/>
          </w:tcPr>
          <w:p w14:paraId="402F7D23" w14:textId="77777777" w:rsidR="006E5119" w:rsidRPr="00634078" w:rsidRDefault="006E5119" w:rsidP="006E5119">
            <w:pPr>
              <w:spacing w:after="0"/>
              <w:jc w:val="center"/>
              <w:rPr>
                <w:rFonts w:ascii="Calibri" w:eastAsia="Times New Roman" w:hAnsi="Calibri" w:cs="Times New Roman"/>
                <w:color w:val="000000"/>
              </w:rPr>
            </w:pPr>
            <w:proofErr w:type="gramStart"/>
            <w:r w:rsidRPr="00634078">
              <w:rPr>
                <w:rFonts w:ascii="Calibri" w:eastAsia="Times New Roman" w:hAnsi="Calibri" w:cs="Times New Roman"/>
                <w:color w:val="000000"/>
              </w:rPr>
              <w:t>n</w:t>
            </w:r>
            <w:proofErr w:type="gramEnd"/>
            <w:r w:rsidRPr="00634078">
              <w:rPr>
                <w:rFonts w:ascii="Calibri" w:eastAsia="Times New Roman" w:hAnsi="Calibri" w:cs="Times New Roman"/>
                <w:color w:val="000000"/>
              </w:rPr>
              <w:t>/a</w:t>
            </w:r>
          </w:p>
        </w:tc>
        <w:tc>
          <w:tcPr>
            <w:tcW w:w="930" w:type="pct"/>
            <w:tcBorders>
              <w:top w:val="nil"/>
              <w:left w:val="nil"/>
              <w:right w:val="nil"/>
            </w:tcBorders>
            <w:shd w:val="clear" w:color="auto" w:fill="auto"/>
            <w:noWrap/>
            <w:vAlign w:val="bottom"/>
            <w:hideMark/>
          </w:tcPr>
          <w:p w14:paraId="78E08DFD"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0.34</w:t>
            </w:r>
          </w:p>
        </w:tc>
        <w:tc>
          <w:tcPr>
            <w:tcW w:w="930" w:type="pct"/>
            <w:tcBorders>
              <w:top w:val="nil"/>
              <w:left w:val="nil"/>
              <w:right w:val="nil"/>
            </w:tcBorders>
            <w:shd w:val="clear" w:color="auto" w:fill="auto"/>
            <w:noWrap/>
            <w:vAlign w:val="bottom"/>
            <w:hideMark/>
          </w:tcPr>
          <w:p w14:paraId="59B420CA"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0.65</w:t>
            </w:r>
          </w:p>
        </w:tc>
        <w:tc>
          <w:tcPr>
            <w:tcW w:w="930" w:type="pct"/>
            <w:tcBorders>
              <w:top w:val="nil"/>
              <w:left w:val="nil"/>
              <w:right w:val="nil"/>
            </w:tcBorders>
            <w:shd w:val="clear" w:color="auto" w:fill="auto"/>
            <w:noWrap/>
            <w:vAlign w:val="bottom"/>
            <w:hideMark/>
          </w:tcPr>
          <w:p w14:paraId="6E5AC537"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1.15</w:t>
            </w:r>
          </w:p>
        </w:tc>
      </w:tr>
      <w:tr w:rsidR="006E5119" w:rsidRPr="00634078" w14:paraId="2B9703BF" w14:textId="77777777" w:rsidTr="006E5119">
        <w:trPr>
          <w:trHeight w:val="280"/>
        </w:trPr>
        <w:tc>
          <w:tcPr>
            <w:tcW w:w="1279" w:type="pct"/>
            <w:tcBorders>
              <w:top w:val="nil"/>
              <w:left w:val="nil"/>
              <w:bottom w:val="single" w:sz="4" w:space="0" w:color="auto"/>
              <w:right w:val="single" w:sz="4" w:space="0" w:color="auto"/>
            </w:tcBorders>
            <w:shd w:val="clear" w:color="auto" w:fill="auto"/>
            <w:noWrap/>
            <w:vAlign w:val="bottom"/>
            <w:hideMark/>
          </w:tcPr>
          <w:p w14:paraId="38C9DD08" w14:textId="77777777" w:rsidR="006E5119" w:rsidRPr="00634078" w:rsidRDefault="006E5119" w:rsidP="006E5119">
            <w:pPr>
              <w:spacing w:after="0"/>
              <w:rPr>
                <w:rFonts w:ascii="Calibri" w:eastAsia="Times New Roman" w:hAnsi="Calibri" w:cs="Times New Roman"/>
                <w:color w:val="000000"/>
              </w:rPr>
            </w:pPr>
            <w:r w:rsidRPr="00634078">
              <w:rPr>
                <w:rFonts w:ascii="Calibri" w:eastAsia="Times New Roman" w:hAnsi="Calibri" w:cs="Times New Roman"/>
                <w:color w:val="000000"/>
              </w:rPr>
              <w:t>Median</w:t>
            </w:r>
          </w:p>
        </w:tc>
        <w:tc>
          <w:tcPr>
            <w:tcW w:w="930" w:type="pct"/>
            <w:tcBorders>
              <w:top w:val="nil"/>
              <w:left w:val="single" w:sz="4" w:space="0" w:color="auto"/>
              <w:bottom w:val="single" w:sz="4" w:space="0" w:color="auto"/>
              <w:right w:val="nil"/>
            </w:tcBorders>
            <w:shd w:val="clear" w:color="auto" w:fill="auto"/>
            <w:noWrap/>
            <w:vAlign w:val="bottom"/>
            <w:hideMark/>
          </w:tcPr>
          <w:p w14:paraId="33314FAD" w14:textId="77777777" w:rsidR="006E5119" w:rsidRPr="00634078" w:rsidRDefault="006E5119" w:rsidP="006E5119">
            <w:pPr>
              <w:spacing w:after="0"/>
              <w:jc w:val="center"/>
              <w:rPr>
                <w:rFonts w:ascii="Calibri" w:eastAsia="Times New Roman" w:hAnsi="Calibri" w:cs="Times New Roman"/>
                <w:color w:val="000000"/>
              </w:rPr>
            </w:pPr>
            <w:proofErr w:type="gramStart"/>
            <w:r w:rsidRPr="00634078">
              <w:rPr>
                <w:rFonts w:ascii="Calibri" w:eastAsia="Times New Roman" w:hAnsi="Calibri" w:cs="Times New Roman"/>
                <w:color w:val="000000"/>
              </w:rPr>
              <w:t>n</w:t>
            </w:r>
            <w:proofErr w:type="gramEnd"/>
            <w:r w:rsidRPr="00634078">
              <w:rPr>
                <w:rFonts w:ascii="Calibri" w:eastAsia="Times New Roman" w:hAnsi="Calibri" w:cs="Times New Roman"/>
                <w:color w:val="000000"/>
              </w:rPr>
              <w:t>/a</w:t>
            </w:r>
          </w:p>
        </w:tc>
        <w:tc>
          <w:tcPr>
            <w:tcW w:w="930" w:type="pct"/>
            <w:tcBorders>
              <w:top w:val="nil"/>
              <w:left w:val="nil"/>
              <w:bottom w:val="single" w:sz="4" w:space="0" w:color="auto"/>
              <w:right w:val="nil"/>
            </w:tcBorders>
            <w:shd w:val="clear" w:color="auto" w:fill="auto"/>
            <w:noWrap/>
            <w:vAlign w:val="bottom"/>
            <w:hideMark/>
          </w:tcPr>
          <w:p w14:paraId="05CA7C8A"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415</w:t>
            </w:r>
          </w:p>
        </w:tc>
        <w:tc>
          <w:tcPr>
            <w:tcW w:w="930" w:type="pct"/>
            <w:tcBorders>
              <w:top w:val="nil"/>
              <w:left w:val="nil"/>
              <w:bottom w:val="single" w:sz="4" w:space="0" w:color="auto"/>
              <w:right w:val="nil"/>
            </w:tcBorders>
            <w:shd w:val="clear" w:color="auto" w:fill="auto"/>
            <w:noWrap/>
            <w:vAlign w:val="bottom"/>
            <w:hideMark/>
          </w:tcPr>
          <w:p w14:paraId="441861B2"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366</w:t>
            </w:r>
          </w:p>
        </w:tc>
        <w:tc>
          <w:tcPr>
            <w:tcW w:w="930" w:type="pct"/>
            <w:tcBorders>
              <w:top w:val="nil"/>
              <w:left w:val="nil"/>
              <w:bottom w:val="single" w:sz="4" w:space="0" w:color="auto"/>
              <w:right w:val="nil"/>
            </w:tcBorders>
            <w:shd w:val="clear" w:color="auto" w:fill="auto"/>
            <w:noWrap/>
            <w:vAlign w:val="bottom"/>
            <w:hideMark/>
          </w:tcPr>
          <w:p w14:paraId="7668BFE7" w14:textId="77777777" w:rsidR="006E5119" w:rsidRPr="00634078" w:rsidRDefault="006E5119" w:rsidP="006E5119">
            <w:pPr>
              <w:spacing w:after="0"/>
              <w:jc w:val="center"/>
              <w:rPr>
                <w:rFonts w:ascii="Calibri" w:eastAsia="Times New Roman" w:hAnsi="Calibri" w:cs="Times New Roman"/>
                <w:color w:val="000000"/>
              </w:rPr>
            </w:pPr>
            <w:r w:rsidRPr="00634078">
              <w:rPr>
                <w:rFonts w:ascii="Calibri" w:eastAsia="Times New Roman" w:hAnsi="Calibri" w:cs="Times New Roman"/>
                <w:color w:val="000000"/>
              </w:rPr>
              <w:t>66</w:t>
            </w:r>
          </w:p>
        </w:tc>
      </w:tr>
      <w:tr w:rsidR="006E5119" w:rsidRPr="00634078" w14:paraId="4C391F7E" w14:textId="77777777" w:rsidTr="006E5119">
        <w:trPr>
          <w:trHeight w:val="280"/>
        </w:trPr>
        <w:tc>
          <w:tcPr>
            <w:tcW w:w="1279" w:type="pct"/>
            <w:tcBorders>
              <w:top w:val="single" w:sz="4" w:space="0" w:color="auto"/>
              <w:bottom w:val="single" w:sz="4" w:space="0" w:color="auto"/>
              <w:right w:val="single" w:sz="4" w:space="0" w:color="auto"/>
            </w:tcBorders>
            <w:shd w:val="clear" w:color="auto" w:fill="auto"/>
            <w:noWrap/>
            <w:vAlign w:val="bottom"/>
          </w:tcPr>
          <w:p w14:paraId="5B776F8E" w14:textId="77777777" w:rsidR="006E5119" w:rsidRPr="00634078" w:rsidRDefault="00314B3D" w:rsidP="00314B3D">
            <w:pPr>
              <w:spacing w:after="0"/>
              <w:rPr>
                <w:rFonts w:ascii="Calibri" w:eastAsia="Times New Roman" w:hAnsi="Calibri" w:cs="Times New Roman"/>
                <w:color w:val="000000"/>
              </w:rPr>
            </w:pPr>
            <w:r>
              <w:rPr>
                <w:rFonts w:ascii="Calibri" w:eastAsia="Times New Roman" w:hAnsi="Calibri" w:cs="Times New Roman"/>
                <w:color w:val="000000"/>
              </w:rPr>
              <w:t>Cl</w:t>
            </w:r>
            <w:r w:rsidRPr="00804CEB">
              <w:rPr>
                <w:rFonts w:ascii="Calibri" w:eastAsia="Times New Roman" w:hAnsi="Calibri" w:cs="Times New Roman"/>
                <w:color w:val="000000"/>
              </w:rPr>
              <w:t>eaning fee</w:t>
            </w:r>
            <w:r>
              <w:rPr>
                <w:rFonts w:ascii="Calibri" w:eastAsia="Times New Roman" w:hAnsi="Calibri" w:cs="Times New Roman"/>
                <w:color w:val="000000"/>
              </w:rPr>
              <w:t xml:space="preserve"> in % of total</w:t>
            </w:r>
          </w:p>
        </w:tc>
        <w:tc>
          <w:tcPr>
            <w:tcW w:w="930" w:type="pct"/>
            <w:tcBorders>
              <w:top w:val="single" w:sz="4" w:space="0" w:color="auto"/>
              <w:left w:val="single" w:sz="4" w:space="0" w:color="auto"/>
              <w:bottom w:val="single" w:sz="4" w:space="0" w:color="auto"/>
            </w:tcBorders>
            <w:shd w:val="clear" w:color="auto" w:fill="auto"/>
            <w:noWrap/>
            <w:vAlign w:val="bottom"/>
          </w:tcPr>
          <w:p w14:paraId="0FFF8B22" w14:textId="77777777" w:rsidR="006E5119" w:rsidRPr="00634078" w:rsidRDefault="006E5119" w:rsidP="006E5119">
            <w:pPr>
              <w:spacing w:after="0"/>
              <w:jc w:val="center"/>
              <w:rPr>
                <w:rFonts w:ascii="Calibri" w:eastAsia="Times New Roman" w:hAnsi="Calibri" w:cs="Times New Roman"/>
                <w:color w:val="000000"/>
              </w:rPr>
            </w:pPr>
            <w:r w:rsidRPr="00804CEB">
              <w:rPr>
                <w:rFonts w:ascii="Calibri" w:eastAsia="Times New Roman" w:hAnsi="Calibri" w:cs="Times New Roman"/>
                <w:color w:val="000000"/>
              </w:rPr>
              <w:t>56.4%</w:t>
            </w:r>
          </w:p>
        </w:tc>
        <w:tc>
          <w:tcPr>
            <w:tcW w:w="930" w:type="pct"/>
            <w:tcBorders>
              <w:top w:val="single" w:sz="4" w:space="0" w:color="auto"/>
              <w:bottom w:val="single" w:sz="4" w:space="0" w:color="auto"/>
            </w:tcBorders>
            <w:shd w:val="clear" w:color="auto" w:fill="auto"/>
            <w:noWrap/>
            <w:vAlign w:val="bottom"/>
          </w:tcPr>
          <w:p w14:paraId="59894415" w14:textId="77777777" w:rsidR="006E5119" w:rsidRPr="00634078" w:rsidRDefault="006E5119" w:rsidP="006E5119">
            <w:pPr>
              <w:spacing w:after="0"/>
              <w:jc w:val="center"/>
              <w:rPr>
                <w:rFonts w:ascii="Calibri" w:eastAsia="Times New Roman" w:hAnsi="Calibri" w:cs="Times New Roman"/>
                <w:color w:val="000000"/>
              </w:rPr>
            </w:pPr>
            <w:r w:rsidRPr="00804CEB">
              <w:rPr>
                <w:rFonts w:ascii="Calibri" w:eastAsia="Times New Roman" w:hAnsi="Calibri" w:cs="Times New Roman"/>
                <w:color w:val="000000"/>
              </w:rPr>
              <w:t>26.9%</w:t>
            </w:r>
          </w:p>
        </w:tc>
        <w:tc>
          <w:tcPr>
            <w:tcW w:w="930" w:type="pct"/>
            <w:tcBorders>
              <w:top w:val="single" w:sz="4" w:space="0" w:color="auto"/>
              <w:bottom w:val="single" w:sz="4" w:space="0" w:color="auto"/>
            </w:tcBorders>
            <w:shd w:val="clear" w:color="auto" w:fill="auto"/>
            <w:noWrap/>
            <w:vAlign w:val="bottom"/>
          </w:tcPr>
          <w:p w14:paraId="0205C455" w14:textId="77777777" w:rsidR="006E5119" w:rsidRPr="00634078" w:rsidRDefault="006E5119" w:rsidP="006E5119">
            <w:pPr>
              <w:spacing w:after="0"/>
              <w:jc w:val="center"/>
              <w:rPr>
                <w:rFonts w:ascii="Calibri" w:eastAsia="Times New Roman" w:hAnsi="Calibri" w:cs="Times New Roman"/>
                <w:color w:val="000000"/>
              </w:rPr>
            </w:pPr>
            <w:r w:rsidRPr="00804CEB">
              <w:rPr>
                <w:rFonts w:ascii="Calibri" w:eastAsia="Times New Roman" w:hAnsi="Calibri" w:cs="Times New Roman"/>
                <w:color w:val="000000"/>
              </w:rPr>
              <w:t>15.4%</w:t>
            </w:r>
          </w:p>
        </w:tc>
        <w:tc>
          <w:tcPr>
            <w:tcW w:w="930" w:type="pct"/>
            <w:tcBorders>
              <w:top w:val="single" w:sz="4" w:space="0" w:color="auto"/>
              <w:bottom w:val="single" w:sz="4" w:space="0" w:color="auto"/>
            </w:tcBorders>
            <w:shd w:val="clear" w:color="auto" w:fill="auto"/>
            <w:noWrap/>
            <w:vAlign w:val="bottom"/>
          </w:tcPr>
          <w:p w14:paraId="3249972B" w14:textId="77777777" w:rsidR="006E5119" w:rsidRPr="00634078" w:rsidRDefault="006E5119" w:rsidP="006E5119">
            <w:pPr>
              <w:spacing w:after="0"/>
              <w:jc w:val="center"/>
              <w:rPr>
                <w:rFonts w:ascii="Calibri" w:eastAsia="Times New Roman" w:hAnsi="Calibri" w:cs="Times New Roman"/>
                <w:color w:val="000000"/>
              </w:rPr>
            </w:pPr>
            <w:r w:rsidRPr="00804CEB">
              <w:rPr>
                <w:rFonts w:ascii="Calibri" w:eastAsia="Times New Roman" w:hAnsi="Calibri" w:cs="Times New Roman"/>
                <w:color w:val="000000"/>
              </w:rPr>
              <w:t>1.3%</w:t>
            </w:r>
          </w:p>
        </w:tc>
      </w:tr>
    </w:tbl>
    <w:p w14:paraId="467A1192" w14:textId="77777777" w:rsidR="006E5119" w:rsidRDefault="006E5119" w:rsidP="006E5119">
      <w:pPr>
        <w:spacing w:before="120"/>
        <w:jc w:val="both"/>
      </w:pPr>
    </w:p>
    <w:p w14:paraId="5400DDFD" w14:textId="77777777" w:rsidR="006E5119" w:rsidRPr="00F31385" w:rsidRDefault="006E5119" w:rsidP="006E5119">
      <w:pPr>
        <w:spacing w:before="120"/>
        <w:jc w:val="both"/>
      </w:pPr>
      <w:r>
        <w:lastRenderedPageBreak/>
        <w:t>Cost recovery is problematic in general for all services performed by local governments in Albania, such as cleaning (solid waste disposal)</w:t>
      </w:r>
      <w:proofErr w:type="gramStart"/>
      <w:r>
        <w:t>;</w:t>
      </w:r>
      <w:proofErr w:type="gramEnd"/>
      <w:r>
        <w:t xml:space="preserve"> urban transport or water supply. This suggests that local government rely too much on general-purpose revenues  (such as business taxes and intergovernmental transfers) to subsidize their operations. This is understandable, as voters are more likely to support raising revenue from businesses (hence not them). Indeed, the picture is distorted even in the case of service fee collections: </w:t>
      </w:r>
      <w:r w:rsidRPr="00F31385">
        <w:t xml:space="preserve">the majority of actual collections </w:t>
      </w:r>
      <w:proofErr w:type="gramStart"/>
      <w:r w:rsidRPr="00F31385">
        <w:t>is</w:t>
      </w:r>
      <w:proofErr w:type="gramEnd"/>
      <w:r w:rsidRPr="00F31385">
        <w:t xml:space="preserve"> generated from businesses</w:t>
      </w:r>
      <w:r>
        <w:t xml:space="preserve"> (the weight is divided typically at a rate of 70:30% between businesses and households). Service fees for businesses are set at much higher levels than for households, even when the activity performed by businesses would not otherwise justify this approach. In terms of administration, collection from businesses is easier, whereas there is large evasion </w:t>
      </w:r>
      <w:r w:rsidRPr="00F31385">
        <w:t>among households, as local governments lack adequate billing systems and enforcement mechanisms.</w:t>
      </w:r>
      <w:r>
        <w:t xml:space="preserve"> There are strong efficiency considerations that would support the case for increased service fees. Naturally, the political reaction to this approach may be adverse as households/individuals are more antagonistic to paying taxes then businesses. </w:t>
      </w:r>
    </w:p>
    <w:p w14:paraId="4051057B" w14:textId="77777777" w:rsidR="006E5119" w:rsidRDefault="006E5119" w:rsidP="006E5119">
      <w:pPr>
        <w:spacing w:before="120"/>
        <w:jc w:val="both"/>
      </w:pPr>
      <w:r>
        <w:t>The cleaning fee is the single local revenue source that shows a straightforward increasing trend over the 2008 – 2012 period. This may be an indication of increased attention to the cleaning service</w:t>
      </w:r>
      <w:r>
        <w:rPr>
          <w:rStyle w:val="FootnoteReference"/>
        </w:rPr>
        <w:footnoteReference w:id="13"/>
      </w:r>
      <w:r>
        <w:t>. Increased process efficiency may be another factor that has contributed, with more local governments using tax agents to collect cleaning fees from households. Scarcity of budget resources may be another factor that has prompted authorities take a more active stance in management of service fees as possibilities to subsidize these services become smaller. Despite positive progress in overall performance however there is no case to become overly enthusiastic: indeed, about 57% of the total collections from the cleaning fee are realized in Tirana; and about 27% is collected in the other seven larger cities. Hence, the remainder 40 units in the sample hardly collect less than 17% of total cleaning fee proceeds.</w:t>
      </w:r>
    </w:p>
    <w:p w14:paraId="7F4C1FF7" w14:textId="77777777" w:rsidR="00AD6757" w:rsidRDefault="00AD6757" w:rsidP="00AD6757"/>
    <w:tbl>
      <w:tblPr>
        <w:tblStyle w:val="TableGrid"/>
        <w:tblW w:w="5000" w:type="pct"/>
        <w:tblBorders>
          <w:insideH w:val="none" w:sz="0" w:space="0" w:color="auto"/>
          <w:insideV w:val="none" w:sz="0" w:space="0" w:color="auto"/>
        </w:tblBorders>
        <w:shd w:val="clear" w:color="auto" w:fill="99CCFF"/>
        <w:tblLook w:val="04A0" w:firstRow="1" w:lastRow="0" w:firstColumn="1" w:lastColumn="0" w:noHBand="0" w:noVBand="1"/>
      </w:tblPr>
      <w:tblGrid>
        <w:gridCol w:w="9576"/>
      </w:tblGrid>
      <w:tr w:rsidR="00AD6757" w14:paraId="24870BFE" w14:textId="77777777" w:rsidTr="00AD6757">
        <w:tc>
          <w:tcPr>
            <w:tcW w:w="5000" w:type="pct"/>
            <w:shd w:val="clear" w:color="auto" w:fill="99CCFF"/>
          </w:tcPr>
          <w:p w14:paraId="2673303B" w14:textId="77777777" w:rsidR="00AD6757" w:rsidRPr="00AD6757" w:rsidRDefault="00AD6757" w:rsidP="00AD6757">
            <w:pPr>
              <w:rPr>
                <w:rFonts w:asciiTheme="majorHAnsi" w:hAnsiTheme="majorHAnsi"/>
                <w:b/>
                <w:color w:val="FFFFFF" w:themeColor="background1"/>
                <w:sz w:val="26"/>
                <w:szCs w:val="26"/>
              </w:rPr>
            </w:pPr>
            <w:proofErr w:type="spellStart"/>
            <w:r w:rsidRPr="00AD6757">
              <w:rPr>
                <w:rFonts w:asciiTheme="majorHAnsi" w:hAnsiTheme="majorHAnsi"/>
                <w:b/>
                <w:color w:val="FFFFFF" w:themeColor="background1"/>
                <w:sz w:val="26"/>
                <w:szCs w:val="26"/>
              </w:rPr>
              <w:t>DLDP</w:t>
            </w:r>
            <w:proofErr w:type="spellEnd"/>
            <w:r w:rsidRPr="00AD6757">
              <w:rPr>
                <w:rFonts w:asciiTheme="majorHAnsi" w:hAnsiTheme="majorHAnsi"/>
                <w:b/>
                <w:color w:val="FFFFFF" w:themeColor="background1"/>
                <w:sz w:val="26"/>
                <w:szCs w:val="26"/>
              </w:rPr>
              <w:t xml:space="preserve"> response to service performance issues</w:t>
            </w:r>
          </w:p>
          <w:p w14:paraId="2C0E17AF" w14:textId="77777777" w:rsidR="00AD6757" w:rsidRPr="00AD6757" w:rsidRDefault="00AD6757" w:rsidP="00AD6757">
            <w:pPr>
              <w:spacing w:before="120" w:after="200" w:line="276" w:lineRule="auto"/>
              <w:jc w:val="both"/>
            </w:pPr>
            <w:r w:rsidRPr="00AD6757">
              <w:t xml:space="preserve">Performance of local government with collection of service fees is far from satisfactory. Until now they have been over reliant on </w:t>
            </w:r>
            <w:proofErr w:type="gramStart"/>
            <w:r w:rsidRPr="00AD6757">
              <w:t>general purpose</w:t>
            </w:r>
            <w:proofErr w:type="gramEnd"/>
            <w:r w:rsidRPr="00AD6757">
              <w:t xml:space="preserve"> budgets and have been subsidizing services that should otherwise be charged to the users. Cross-subsidy of services is a method preferred by politicians who fear the political costs of raising direct taxes on constituents. Typically service fees should be paid by individuals in the same fashion as businesses, in proportion with the amount and quality of services received (or demand each individual creates for such services). The cleaning service is the most universal service among local governments in Albania (albeit there are still local governments which do not provide such service). Besides the political costs associated with the process, a number of technical difficulties persist, including the lack of service provision standards; as well as lack of methodologies for cost calculation. Poor taxpayers information and awareness, hence lack of willingness to pay for services received - is another hindrance to a cost recovery policy by local governments.</w:t>
            </w:r>
          </w:p>
          <w:p w14:paraId="33AF5CA8" w14:textId="77777777" w:rsidR="00AD6757" w:rsidRPr="00AD6757" w:rsidRDefault="00AD6757" w:rsidP="00AD6757">
            <w:pPr>
              <w:spacing w:before="120" w:after="200" w:line="276" w:lineRule="auto"/>
              <w:jc w:val="both"/>
            </w:pPr>
            <w:proofErr w:type="spellStart"/>
            <w:r w:rsidRPr="00AD6757">
              <w:lastRenderedPageBreak/>
              <w:t>DLDP</w:t>
            </w:r>
            <w:proofErr w:type="spellEnd"/>
            <w:r w:rsidRPr="00AD6757">
              <w:t xml:space="preserve"> worked together with a number of local government units and other partners to help tackle these issues in a comprehensive manner. </w:t>
            </w:r>
            <w:proofErr w:type="spellStart"/>
            <w:r w:rsidRPr="00AD6757">
              <w:t>DLDP’s</w:t>
            </w:r>
            <w:proofErr w:type="spellEnd"/>
            <w:r w:rsidRPr="00AD6757">
              <w:t xml:space="preserve"> intervention in the sector was multifaceted, ranging from work on cost definition methodology, to cost optimization</w:t>
            </w:r>
            <w:proofErr w:type="gramStart"/>
            <w:r w:rsidRPr="00AD6757">
              <w:t>;</w:t>
            </w:r>
            <w:proofErr w:type="gramEnd"/>
            <w:r w:rsidRPr="00AD6757">
              <w:t xml:space="preserve"> service expansion (i.e. recycling) as well taxpayer information and awareness activities. </w:t>
            </w:r>
          </w:p>
          <w:p w14:paraId="698268D4" w14:textId="77777777" w:rsidR="00AD6757" w:rsidRPr="00AD6757" w:rsidRDefault="00AD6757" w:rsidP="00AD6757">
            <w:pPr>
              <w:spacing w:before="120" w:after="200" w:line="276" w:lineRule="auto"/>
              <w:jc w:val="both"/>
            </w:pPr>
            <w:r w:rsidRPr="00AD6757">
              <w:t>The development of a tariff calculation methodology is a very positive step in this direction. The suggested methodology supports the concept of “paying for what you are getting”. In terms of waste management, this concept is based on the assumption that those individuals who put a bigger strain on public services should pay more then the average citizen. In practical terms, the methodology introduced a series of criteria that model behavior; such as type of taxpayer (household/non household/ other subcategories); size of households; distance from city center; type of dwelling. The total costs of service provision are allocated to each taxpayer in accordance with the preset criteria and the individual fee is calculated for each taxpayer.</w:t>
            </w:r>
          </w:p>
          <w:p w14:paraId="4AFC7803" w14:textId="77777777" w:rsidR="00AD6757" w:rsidRPr="00AD6757" w:rsidRDefault="00AD6757" w:rsidP="00AD6757">
            <w:pPr>
              <w:spacing w:before="120" w:after="200" w:line="276" w:lineRule="auto"/>
              <w:jc w:val="both"/>
            </w:pPr>
            <w:r w:rsidRPr="00AD6757">
              <w:t xml:space="preserve">Besides the tariff calculation methodology, </w:t>
            </w:r>
            <w:proofErr w:type="spellStart"/>
            <w:r w:rsidRPr="00AD6757">
              <w:t>DLDP</w:t>
            </w:r>
            <w:proofErr w:type="spellEnd"/>
            <w:r w:rsidRPr="00AD6757">
              <w:t xml:space="preserve"> has also put its efforts into calculating the real cost of service provision (based on the calculation of the amount of waste produced by each individual/taxpayer).</w:t>
            </w:r>
          </w:p>
          <w:p w14:paraId="5294F39D" w14:textId="77777777" w:rsidR="00AD6757" w:rsidRPr="00AD6757" w:rsidRDefault="00AD6757" w:rsidP="00AD6757">
            <w:pPr>
              <w:spacing w:before="120" w:after="200" w:line="276" w:lineRule="auto"/>
              <w:jc w:val="both"/>
            </w:pPr>
            <w:r w:rsidRPr="00AD6757">
              <w:t xml:space="preserve">This model has its undisputable merit of being among the very first attempts to standardize cost calculation and tariff setting for the cleaning service in the country. Furthermore, interventions have been accompanied by awareness raising activities in order to inform citizens and increase their willingness to contribute. Preliminary results are positive: if a careful tariff methodology and enforcement is made; average service fees at individual households and/or business level are lower than what is actually charged by local governments. A careful awareness raising campaign has increased citizen sensitivity to environmental issues in </w:t>
            </w:r>
            <w:proofErr w:type="spellStart"/>
            <w:r w:rsidRPr="00AD6757">
              <w:t>Lezha</w:t>
            </w:r>
            <w:proofErr w:type="spellEnd"/>
            <w:r w:rsidRPr="00AD6757">
              <w:t xml:space="preserve"> where the first recycling “experiments” were made; and initial indications show that citizens are in average willing to pay more if they have more information.</w:t>
            </w:r>
          </w:p>
          <w:p w14:paraId="3752B6C9" w14:textId="77777777" w:rsidR="00AD6757" w:rsidRPr="00AD6757" w:rsidRDefault="00AD6757" w:rsidP="00AD6757">
            <w:pPr>
              <w:spacing w:before="120" w:after="200" w:line="276" w:lineRule="auto"/>
              <w:jc w:val="both"/>
            </w:pPr>
            <w:r w:rsidRPr="00AD6757">
              <w:t>There are certain weak aspects to the prospects of implementation of the methodology at a</w:t>
            </w:r>
            <w:r>
              <w:t xml:space="preserve"> larger scale: the process of data collection at the local level is rather demanding and progressively so in larger local governments. Information is not always available as local governments lack taxpayer databases; hence a degree of subjectivity will undoubtedly persist. In terms of overall service cost calculation, in the absence of accurate measurements of the amount and types of waste produced, the starting point for the allocation of costs is the </w:t>
            </w:r>
            <w:r w:rsidRPr="00AD6757">
              <w:t>current budget spent on the waste disposal service. This approach leaves little room for improved service standards and/or expansion of services. Furthermore, the unfunded service part – notoriously from non-compliant subjects – should be clearly identified as such in public communications and subsidized from the general budget rather than reallocated to those who are willing to pay.</w:t>
            </w:r>
          </w:p>
          <w:p w14:paraId="7B3B144F" w14:textId="77777777" w:rsidR="00AD6757" w:rsidRDefault="00AD6757" w:rsidP="00AD6757">
            <w:pPr>
              <w:spacing w:before="120" w:after="200" w:line="276" w:lineRule="auto"/>
              <w:jc w:val="both"/>
            </w:pPr>
            <w:r w:rsidRPr="00AD6757">
              <w:t xml:space="preserve">In general, the approach supported by </w:t>
            </w:r>
            <w:proofErr w:type="spellStart"/>
            <w:r w:rsidRPr="00AD6757">
              <w:t>DLDP</w:t>
            </w:r>
            <w:proofErr w:type="spellEnd"/>
            <w:r w:rsidRPr="00AD6757">
              <w:t xml:space="preserve"> in the waste management sector is extremely positive and it tackles all aspects of service provision in a comprehensive manner. While more work is being carried out to perfect the developed instruments; it will be necessary to hand over these methodologies to the central</w:t>
            </w:r>
            <w:r>
              <w:t xml:space="preserve"> government and/or a central regulator that could support rolling out in a national scale. If the </w:t>
            </w:r>
            <w:r>
              <w:lastRenderedPageBreak/>
              <w:t xml:space="preserve">tariff calculation methodology is nationally regulated, attention should be paid to changing conditions in different local governments; disincentives for cost optimization scenarios and potential innovations </w:t>
            </w:r>
            <w:r w:rsidRPr="00314B3D">
              <w:t>must be avoided.</w:t>
            </w:r>
          </w:p>
        </w:tc>
      </w:tr>
    </w:tbl>
    <w:p w14:paraId="6BE3DB53" w14:textId="77777777" w:rsidR="00AD6757" w:rsidRPr="00AD6757" w:rsidRDefault="00AD6757" w:rsidP="00AD6757"/>
    <w:p w14:paraId="1F61E701" w14:textId="77777777" w:rsidR="00AD6757" w:rsidRDefault="00AD6757" w:rsidP="006E5119">
      <w:pPr>
        <w:spacing w:before="120"/>
        <w:jc w:val="both"/>
        <w:sectPr w:rsidR="00AD6757">
          <w:pgSz w:w="12240" w:h="15840"/>
          <w:pgMar w:top="1440" w:right="1440" w:bottom="1440" w:left="1440" w:header="720" w:footer="720" w:gutter="0"/>
          <w:cols w:space="720"/>
          <w:docGrid w:linePitch="360"/>
        </w:sectPr>
      </w:pPr>
    </w:p>
    <w:p w14:paraId="09E7E1EA" w14:textId="77777777" w:rsidR="006E5119" w:rsidRPr="00F31385" w:rsidRDefault="006E5119" w:rsidP="006E5119">
      <w:pPr>
        <w:pStyle w:val="Heading1"/>
        <w:pageBreakBefore/>
        <w:jc w:val="both"/>
        <w:rPr>
          <w:rFonts w:asciiTheme="minorHAnsi" w:hAnsiTheme="minorHAnsi"/>
        </w:rPr>
      </w:pPr>
      <w:bookmarkStart w:id="23" w:name="_Toc253791347"/>
      <w:r>
        <w:rPr>
          <w:rFonts w:asciiTheme="minorHAnsi" w:hAnsiTheme="minorHAnsi"/>
        </w:rPr>
        <w:lastRenderedPageBreak/>
        <w:t>4</w:t>
      </w:r>
      <w:r w:rsidRPr="00F31385">
        <w:rPr>
          <w:rFonts w:asciiTheme="minorHAnsi" w:hAnsiTheme="minorHAnsi"/>
        </w:rPr>
        <w:t xml:space="preserve"> The system of transfers</w:t>
      </w:r>
      <w:bookmarkEnd w:id="23"/>
    </w:p>
    <w:p w14:paraId="1FD28B9A" w14:textId="77777777" w:rsidR="006E5119" w:rsidRPr="00F31385" w:rsidRDefault="006E5119" w:rsidP="006E5119">
      <w:pPr>
        <w:jc w:val="both"/>
      </w:pPr>
    </w:p>
    <w:p w14:paraId="6B425242" w14:textId="77777777" w:rsidR="006E5119" w:rsidRPr="00F31385" w:rsidRDefault="006E5119" w:rsidP="006E5119">
      <w:pPr>
        <w:spacing w:before="120"/>
        <w:jc w:val="both"/>
      </w:pPr>
      <w:r w:rsidRPr="00F31385">
        <w:t>Following the 2000 decentralization reform, financing of local governments shifted towards unconditional discretionary funding, in the form of unconditional intergovernmental fiscal transfers from the state budget, as well as through increased tax autonomy.</w:t>
      </w:r>
    </w:p>
    <w:p w14:paraId="6A5A9A78" w14:textId="77777777" w:rsidR="006E5119" w:rsidRPr="00F31385" w:rsidRDefault="006E5119" w:rsidP="006E5119">
      <w:pPr>
        <w:spacing w:before="120"/>
        <w:jc w:val="both"/>
      </w:pPr>
      <w:r w:rsidRPr="00F31385">
        <w:t>From 2001 local governments started receiving unconditional grants, which is distributed based on an equalizing formula. The unconditional transfer is used to finance administration costs of local governments, as well as own functions.</w:t>
      </w:r>
    </w:p>
    <w:p w14:paraId="30E4EE66" w14:textId="77777777" w:rsidR="006E5119" w:rsidRPr="00F31385" w:rsidRDefault="006E5119" w:rsidP="00AD6757">
      <w:pPr>
        <w:spacing w:before="120"/>
        <w:jc w:val="both"/>
      </w:pPr>
      <w:r w:rsidRPr="00F31385">
        <w:t>However, the central government continued to support local governments through conditional transfers, even in areas of own functions. Until 2005 the central government allocated conditional grants for rural and urban road infrastructure, and capital investments in areas of shared functions (</w:t>
      </w:r>
      <w:proofErr w:type="spellStart"/>
      <w:r w:rsidRPr="00F31385">
        <w:t>preuniversity</w:t>
      </w:r>
      <w:proofErr w:type="spellEnd"/>
      <w:r w:rsidRPr="00F31385">
        <w:t xml:space="preserve"> education, primary healthcare). Today the majority of conditional grants are composed of earmarked social assistance transfers; some transfers to support delegated functions (i.e. civil registry, business registration </w:t>
      </w:r>
      <w:proofErr w:type="spellStart"/>
      <w:r w:rsidRPr="00F31385">
        <w:t>centres</w:t>
      </w:r>
      <w:proofErr w:type="spellEnd"/>
      <w:r w:rsidRPr="00F31385">
        <w:t>), as well as smaller transfers in education, public works or economic development.</w:t>
      </w:r>
    </w:p>
    <w:p w14:paraId="599A7BBF" w14:textId="77777777" w:rsidR="006E5119" w:rsidRPr="00F31385" w:rsidRDefault="006E5119" w:rsidP="006E5119">
      <w:pPr>
        <w:spacing w:before="120"/>
        <w:ind w:firstLine="720"/>
        <w:jc w:val="both"/>
      </w:pPr>
    </w:p>
    <w:p w14:paraId="168A2D2D" w14:textId="77777777" w:rsidR="006E5119" w:rsidRPr="00F31385" w:rsidRDefault="006E5119" w:rsidP="006E5119">
      <w:pPr>
        <w:pStyle w:val="Heading2"/>
        <w:jc w:val="both"/>
        <w:rPr>
          <w:rFonts w:asciiTheme="minorHAnsi" w:hAnsiTheme="minorHAnsi"/>
        </w:rPr>
      </w:pPr>
      <w:bookmarkStart w:id="24" w:name="_Toc253791348"/>
      <w:r>
        <w:rPr>
          <w:rFonts w:asciiTheme="minorHAnsi" w:hAnsiTheme="minorHAnsi"/>
        </w:rPr>
        <w:t>4</w:t>
      </w:r>
      <w:r w:rsidRPr="00F31385">
        <w:rPr>
          <w:rFonts w:asciiTheme="minorHAnsi" w:hAnsiTheme="minorHAnsi"/>
        </w:rPr>
        <w:t>.1 Unconditional transfer and formula allocation</w:t>
      </w:r>
      <w:bookmarkEnd w:id="24"/>
    </w:p>
    <w:p w14:paraId="4DF3C235" w14:textId="77777777" w:rsidR="006E5119" w:rsidRPr="00F31385" w:rsidRDefault="006E5119" w:rsidP="006E5119">
      <w:pPr>
        <w:jc w:val="both"/>
      </w:pPr>
    </w:p>
    <w:p w14:paraId="1B6E4133" w14:textId="77777777" w:rsidR="006E5119" w:rsidRPr="00F31385" w:rsidRDefault="006E5119" w:rsidP="006E5119">
      <w:pPr>
        <w:spacing w:before="120"/>
        <w:jc w:val="both"/>
      </w:pPr>
      <w:r w:rsidRPr="00F31385">
        <w:t>The unconditional transfer to local governments in Albania is intended to adjust for the vertical fiscal imbalance resulting from the unevenness of revenue raising capacities at the national and local level, and the assignment of expenditure responsibilities. In addition, it also adjusts for horizontal imbalances, which will be discussed later (transfers). To date, no formal policy concerning the annual total pool of unconditional transfer exists; annual allocation have taken place without providing very clear explanations or clear and accurate figures.  The total pool has fluctuated during 2001 – 2006, with a steep decrease in 2003.</w:t>
      </w:r>
      <w:r w:rsidRPr="00F31385">
        <w:rPr>
          <w:rStyle w:val="FootnoteReference"/>
        </w:rPr>
        <w:footnoteReference w:id="14"/>
      </w:r>
    </w:p>
    <w:tbl>
      <w:tblPr>
        <w:tblW w:w="0" w:type="auto"/>
        <w:shd w:val="clear" w:color="auto" w:fill="99CCFF"/>
        <w:tblLook w:val="01E0" w:firstRow="1" w:lastRow="1" w:firstColumn="1" w:lastColumn="1" w:noHBand="0" w:noVBand="0"/>
      </w:tblPr>
      <w:tblGrid>
        <w:gridCol w:w="9468"/>
      </w:tblGrid>
      <w:tr w:rsidR="006E5119" w:rsidRPr="00F31385" w14:paraId="499356C7" w14:textId="77777777" w:rsidTr="00AD6757">
        <w:tc>
          <w:tcPr>
            <w:tcW w:w="9468" w:type="dxa"/>
            <w:shd w:val="clear" w:color="auto" w:fill="99CCFF"/>
          </w:tcPr>
          <w:p w14:paraId="6FC8021D" w14:textId="77777777" w:rsidR="006E5119" w:rsidRPr="00AD6757" w:rsidRDefault="006E5119" w:rsidP="006E5119">
            <w:pPr>
              <w:spacing w:before="120"/>
              <w:jc w:val="both"/>
              <w:rPr>
                <w:rFonts w:asciiTheme="majorHAnsi" w:hAnsiTheme="majorHAnsi"/>
                <w:b/>
                <w:color w:val="FFFFFF" w:themeColor="background1"/>
                <w:sz w:val="26"/>
                <w:szCs w:val="26"/>
              </w:rPr>
            </w:pPr>
            <w:r w:rsidRPr="00AD6757">
              <w:rPr>
                <w:rFonts w:asciiTheme="majorHAnsi" w:hAnsiTheme="majorHAnsi"/>
                <w:b/>
                <w:color w:val="FFFFFF" w:themeColor="background1"/>
                <w:sz w:val="26"/>
                <w:szCs w:val="26"/>
              </w:rPr>
              <w:t>Formula based allocation of unconditional transfer</w:t>
            </w:r>
          </w:p>
          <w:p w14:paraId="67060267" w14:textId="77777777" w:rsidR="006E5119" w:rsidRPr="00F31385" w:rsidRDefault="006E5119" w:rsidP="006E5119">
            <w:pPr>
              <w:spacing w:before="120"/>
              <w:jc w:val="both"/>
            </w:pPr>
            <w:r w:rsidRPr="00F31385">
              <w:t xml:space="preserve">The total pool of the unconditional formula is first divided into two separate </w:t>
            </w:r>
            <w:proofErr w:type="spellStart"/>
            <w:r w:rsidRPr="00F31385">
              <w:t>subpools</w:t>
            </w:r>
            <w:proofErr w:type="spellEnd"/>
            <w:r w:rsidRPr="00F31385">
              <w:t>: More than 90% of the total pool is distributed through the formula to all municipalities and communes, and the remainder of about 9% is distributed to regions.</w:t>
            </w:r>
          </w:p>
          <w:p w14:paraId="6C970A99" w14:textId="77777777" w:rsidR="006E5119" w:rsidRPr="00F31385" w:rsidRDefault="006E5119" w:rsidP="006E5119">
            <w:pPr>
              <w:spacing w:before="120"/>
              <w:jc w:val="both"/>
              <w:rPr>
                <w:b/>
                <w:i/>
              </w:rPr>
            </w:pPr>
            <w:r w:rsidRPr="00F31385">
              <w:rPr>
                <w:b/>
                <w:i/>
              </w:rPr>
              <w:t>Transfer to municipalities and communes (A)</w:t>
            </w:r>
          </w:p>
          <w:p w14:paraId="797E7FF9" w14:textId="77777777" w:rsidR="006E5119" w:rsidRPr="00F31385" w:rsidRDefault="006E5119" w:rsidP="006E5119">
            <w:pPr>
              <w:spacing w:before="120"/>
              <w:jc w:val="both"/>
            </w:pPr>
            <w:r w:rsidRPr="00F31385">
              <w:t>The allocation of the unconditional pool for municipalities and communes follows the following steps:</w:t>
            </w:r>
          </w:p>
          <w:p w14:paraId="05005EFC" w14:textId="77777777" w:rsidR="006E5119" w:rsidRPr="00F31385" w:rsidRDefault="006E5119" w:rsidP="006E5119">
            <w:pPr>
              <w:pStyle w:val="Style1"/>
              <w:tabs>
                <w:tab w:val="clear" w:pos="1440"/>
                <w:tab w:val="num" w:pos="360"/>
              </w:tabs>
              <w:ind w:left="360"/>
              <w:jc w:val="both"/>
              <w:rPr>
                <w:rFonts w:asciiTheme="minorHAnsi" w:hAnsiTheme="minorHAnsi"/>
                <w:sz w:val="22"/>
                <w:szCs w:val="22"/>
              </w:rPr>
            </w:pPr>
            <w:r w:rsidRPr="00F31385">
              <w:rPr>
                <w:rFonts w:asciiTheme="minorHAnsi" w:hAnsiTheme="minorHAnsi"/>
                <w:sz w:val="22"/>
                <w:szCs w:val="22"/>
              </w:rPr>
              <w:lastRenderedPageBreak/>
              <w:t>70% of the pool is distributed proportionally to each unit, based on their population size relative to the total population. Population is the dominant criterion of the formula, as it can best approximate expenditure needs.</w:t>
            </w:r>
          </w:p>
          <w:p w14:paraId="7A488FD5" w14:textId="77777777" w:rsidR="006E5119" w:rsidRPr="00F31385" w:rsidRDefault="006E5119" w:rsidP="006E5119">
            <w:pPr>
              <w:pStyle w:val="Style1"/>
              <w:tabs>
                <w:tab w:val="clear" w:pos="1440"/>
                <w:tab w:val="num" w:pos="360"/>
              </w:tabs>
              <w:ind w:left="360"/>
              <w:jc w:val="both"/>
              <w:rPr>
                <w:rFonts w:asciiTheme="minorHAnsi" w:hAnsiTheme="minorHAnsi"/>
                <w:sz w:val="22"/>
                <w:szCs w:val="22"/>
              </w:rPr>
            </w:pPr>
            <w:r w:rsidRPr="00F31385">
              <w:rPr>
                <w:rFonts w:asciiTheme="minorHAnsi" w:hAnsiTheme="minorHAnsi"/>
                <w:sz w:val="22"/>
                <w:szCs w:val="22"/>
              </w:rPr>
              <w:t xml:space="preserve">15% of the pool is distributed exclusively to the 308 communes, based on the weighted surface area of each commune relative to the overall commune surface area. </w:t>
            </w:r>
            <w:proofErr w:type="gramStart"/>
            <w:r w:rsidRPr="00F31385">
              <w:rPr>
                <w:rFonts w:asciiTheme="minorHAnsi" w:hAnsiTheme="minorHAnsi"/>
                <w:sz w:val="22"/>
                <w:szCs w:val="22"/>
              </w:rPr>
              <w:t xml:space="preserve">The surface area is multiplied by </w:t>
            </w:r>
            <w:r>
              <w:rPr>
                <w:rFonts w:asciiTheme="minorHAnsi" w:hAnsiTheme="minorHAnsi"/>
                <w:sz w:val="22"/>
                <w:szCs w:val="22"/>
              </w:rPr>
              <w:t>4</w:t>
            </w:r>
            <w:proofErr w:type="gramEnd"/>
            <w:r w:rsidRPr="00F31385">
              <w:rPr>
                <w:rFonts w:asciiTheme="minorHAnsi" w:hAnsiTheme="minorHAnsi"/>
                <w:sz w:val="22"/>
                <w:szCs w:val="22"/>
              </w:rPr>
              <w:t xml:space="preserve"> for 178 mountainous communes, which are considered to face higher challenges given the relatively poor infrastructure and poor access to services. Thus, the relative surface area of these mountain communes and the relative share of the 15% of the pool they receive </w:t>
            </w:r>
            <w:proofErr w:type="gramStart"/>
            <w:r w:rsidRPr="00F31385">
              <w:rPr>
                <w:rFonts w:asciiTheme="minorHAnsi" w:hAnsiTheme="minorHAnsi"/>
                <w:sz w:val="22"/>
                <w:szCs w:val="22"/>
              </w:rPr>
              <w:t>is</w:t>
            </w:r>
            <w:proofErr w:type="gramEnd"/>
            <w:r w:rsidRPr="00F31385">
              <w:rPr>
                <w:rFonts w:asciiTheme="minorHAnsi" w:hAnsiTheme="minorHAnsi"/>
                <w:sz w:val="22"/>
                <w:szCs w:val="22"/>
              </w:rPr>
              <w:t xml:space="preserve"> higher.  </w:t>
            </w:r>
          </w:p>
          <w:p w14:paraId="4CC2D79D" w14:textId="77777777" w:rsidR="006E5119" w:rsidRPr="00F31385" w:rsidRDefault="006E5119" w:rsidP="006E5119">
            <w:pPr>
              <w:pStyle w:val="Style1"/>
              <w:tabs>
                <w:tab w:val="clear" w:pos="1440"/>
                <w:tab w:val="num" w:pos="360"/>
              </w:tabs>
              <w:ind w:left="360"/>
              <w:jc w:val="both"/>
              <w:rPr>
                <w:rFonts w:asciiTheme="minorHAnsi" w:hAnsiTheme="minorHAnsi"/>
                <w:sz w:val="22"/>
                <w:szCs w:val="22"/>
              </w:rPr>
            </w:pPr>
            <w:r w:rsidRPr="00F31385">
              <w:rPr>
                <w:rFonts w:asciiTheme="minorHAnsi" w:hAnsiTheme="minorHAnsi"/>
                <w:sz w:val="22"/>
                <w:szCs w:val="22"/>
              </w:rPr>
              <w:t>The remainder 15% of the pool is distributed exclusively to the 65 municipalities, in proportion with the weighted relative population size to the total urban population of the country. The logic is similar as in the case of communes: a multiplier</w:t>
            </w:r>
            <w:r>
              <w:rPr>
                <w:rFonts w:asciiTheme="minorHAnsi" w:hAnsiTheme="minorHAnsi"/>
                <w:sz w:val="22"/>
                <w:szCs w:val="22"/>
              </w:rPr>
              <w:t xml:space="preserve"> of 2</w:t>
            </w:r>
            <w:r w:rsidRPr="00F31385">
              <w:rPr>
                <w:rFonts w:asciiTheme="minorHAnsi" w:hAnsiTheme="minorHAnsi"/>
                <w:sz w:val="22"/>
                <w:szCs w:val="22"/>
              </w:rPr>
              <w:t xml:space="preserve"> is used respectively for the population of “distressed” and/or mountainous municipalities. </w:t>
            </w:r>
          </w:p>
          <w:p w14:paraId="69D677FA" w14:textId="77777777" w:rsidR="006E5119" w:rsidRPr="00F31385" w:rsidRDefault="006E5119" w:rsidP="006E5119">
            <w:pPr>
              <w:pStyle w:val="Style1"/>
              <w:tabs>
                <w:tab w:val="clear" w:pos="1440"/>
                <w:tab w:val="num" w:pos="360"/>
              </w:tabs>
              <w:ind w:left="360"/>
              <w:jc w:val="both"/>
              <w:rPr>
                <w:rFonts w:asciiTheme="minorHAnsi" w:hAnsiTheme="minorHAnsi"/>
                <w:sz w:val="22"/>
                <w:szCs w:val="22"/>
              </w:rPr>
            </w:pPr>
            <w:r w:rsidRPr="00F31385">
              <w:rPr>
                <w:rFonts w:asciiTheme="minorHAnsi" w:hAnsiTheme="minorHAnsi"/>
                <w:sz w:val="22"/>
                <w:szCs w:val="22"/>
              </w:rPr>
              <w:t xml:space="preserve">The next step of the formula is fiscal equalization, which takes into consideration per capita revenues of each M/C from </w:t>
            </w:r>
            <w:r>
              <w:rPr>
                <w:rFonts w:asciiTheme="minorHAnsi" w:hAnsiTheme="minorHAnsi"/>
                <w:sz w:val="22"/>
                <w:szCs w:val="22"/>
              </w:rPr>
              <w:t>small business tax collections.</w:t>
            </w:r>
            <w:r w:rsidRPr="00F31385">
              <w:rPr>
                <w:rFonts w:asciiTheme="minorHAnsi" w:hAnsiTheme="minorHAnsi"/>
                <w:sz w:val="22"/>
                <w:szCs w:val="22"/>
              </w:rPr>
              <w:t xml:space="preserve"> The per capita revenues of each M/C from these sources are compared to the national average. Wherever M/C per capita collections are higher than the national average, they contribute by 25% of the difference, whereas units below the national average receive 25% of the difference (multiplied by population). </w:t>
            </w:r>
          </w:p>
          <w:p w14:paraId="63C598C5" w14:textId="77777777" w:rsidR="006E5119" w:rsidRPr="00F31385" w:rsidRDefault="006E5119" w:rsidP="006E5119">
            <w:pPr>
              <w:pStyle w:val="Style1"/>
              <w:tabs>
                <w:tab w:val="clear" w:pos="1440"/>
                <w:tab w:val="num" w:pos="360"/>
              </w:tabs>
              <w:ind w:left="360"/>
              <w:jc w:val="both"/>
              <w:rPr>
                <w:rFonts w:asciiTheme="minorHAnsi" w:hAnsiTheme="minorHAnsi"/>
                <w:sz w:val="22"/>
                <w:szCs w:val="22"/>
              </w:rPr>
            </w:pPr>
            <w:r w:rsidRPr="00F31385">
              <w:rPr>
                <w:rFonts w:asciiTheme="minorHAnsi" w:hAnsiTheme="minorHAnsi"/>
                <w:sz w:val="22"/>
                <w:szCs w:val="22"/>
              </w:rPr>
              <w:t>Than the formula considers the preliminary grant allocation in percentage of the previous year grant, and ad</w:t>
            </w:r>
            <w:r>
              <w:rPr>
                <w:rFonts w:asciiTheme="minorHAnsi" w:hAnsiTheme="minorHAnsi"/>
                <w:sz w:val="22"/>
                <w:szCs w:val="22"/>
              </w:rPr>
              <w:t>justs results in order to make sure that the result is similar to the previous year</w:t>
            </w:r>
            <w:r w:rsidRPr="00F31385">
              <w:rPr>
                <w:rFonts w:asciiTheme="minorHAnsi" w:hAnsiTheme="minorHAnsi"/>
                <w:sz w:val="22"/>
                <w:szCs w:val="22"/>
              </w:rPr>
              <w:t xml:space="preserve">. </w:t>
            </w:r>
          </w:p>
          <w:p w14:paraId="2E82AD70" w14:textId="77777777" w:rsidR="006E5119" w:rsidRPr="00F31385" w:rsidRDefault="006E5119" w:rsidP="006E5119">
            <w:pPr>
              <w:pStyle w:val="Style1"/>
              <w:tabs>
                <w:tab w:val="clear" w:pos="1440"/>
                <w:tab w:val="num" w:pos="360"/>
              </w:tabs>
              <w:ind w:left="360"/>
              <w:jc w:val="both"/>
              <w:rPr>
                <w:rFonts w:asciiTheme="minorHAnsi" w:hAnsiTheme="minorHAnsi"/>
                <w:sz w:val="22"/>
                <w:szCs w:val="22"/>
              </w:rPr>
            </w:pPr>
            <w:r w:rsidRPr="00F31385">
              <w:rPr>
                <w:rFonts w:asciiTheme="minorHAnsi" w:hAnsiTheme="minorHAnsi"/>
                <w:sz w:val="22"/>
                <w:szCs w:val="22"/>
              </w:rPr>
              <w:t xml:space="preserve">The final step in the formula is the minimum per capita revenue guarantee, in terms of the grant allocation+ collections from the abovementioned taxes that were used for purposes of fiscal equalization. The minimum per capita guarantee is lower for communes than for municipalities (respectively </w:t>
            </w:r>
            <w:r w:rsidRPr="003803E2">
              <w:rPr>
                <w:rFonts w:asciiTheme="minorHAnsi" w:hAnsiTheme="minorHAnsi"/>
                <w:sz w:val="22"/>
                <w:szCs w:val="22"/>
              </w:rPr>
              <w:t xml:space="preserve">2080 and 3050 </w:t>
            </w:r>
            <w:proofErr w:type="spellStart"/>
            <w:r w:rsidRPr="003803E2">
              <w:rPr>
                <w:rFonts w:asciiTheme="minorHAnsi" w:hAnsiTheme="minorHAnsi"/>
                <w:sz w:val="22"/>
                <w:szCs w:val="22"/>
              </w:rPr>
              <w:t>lek</w:t>
            </w:r>
            <w:proofErr w:type="spellEnd"/>
            <w:r w:rsidRPr="003803E2">
              <w:rPr>
                <w:rFonts w:asciiTheme="minorHAnsi" w:hAnsiTheme="minorHAnsi"/>
                <w:sz w:val="22"/>
                <w:szCs w:val="22"/>
              </w:rPr>
              <w:t xml:space="preserve"> per capita in 2013).</w:t>
            </w:r>
            <w:r w:rsidRPr="00F31385">
              <w:rPr>
                <w:rFonts w:asciiTheme="minorHAnsi" w:hAnsiTheme="minorHAnsi"/>
                <w:sz w:val="22"/>
                <w:szCs w:val="22"/>
              </w:rPr>
              <w:t xml:space="preserve"> The minimum per capita guarantee is compensated through the fund originating from the difference as per the point above (total grant increase higher than 15% minus total grant decrease)</w:t>
            </w:r>
          </w:p>
          <w:p w14:paraId="66445C6E" w14:textId="77777777" w:rsidR="006E5119" w:rsidRPr="00F31385" w:rsidRDefault="006E5119" w:rsidP="006E5119">
            <w:pPr>
              <w:pStyle w:val="Style1"/>
              <w:tabs>
                <w:tab w:val="clear" w:pos="1440"/>
                <w:tab w:val="num" w:pos="360"/>
              </w:tabs>
              <w:ind w:left="360"/>
              <w:jc w:val="both"/>
              <w:rPr>
                <w:rFonts w:asciiTheme="minorHAnsi" w:hAnsiTheme="minorHAnsi"/>
                <w:sz w:val="22"/>
                <w:szCs w:val="22"/>
              </w:rPr>
            </w:pPr>
            <w:r w:rsidRPr="00F31385">
              <w:rPr>
                <w:rFonts w:asciiTheme="minorHAnsi" w:hAnsiTheme="minorHAnsi"/>
                <w:sz w:val="22"/>
                <w:szCs w:val="22"/>
              </w:rPr>
              <w:t>A small compensation fund may result, which is retained by the ministry in charge of local governments (Ministry of Interior), and used to support local governments i</w:t>
            </w:r>
            <w:r>
              <w:rPr>
                <w:rFonts w:asciiTheme="minorHAnsi" w:hAnsiTheme="minorHAnsi"/>
                <w:sz w:val="22"/>
                <w:szCs w:val="22"/>
              </w:rPr>
              <w:t>.</w:t>
            </w:r>
            <w:r w:rsidRPr="00F31385">
              <w:rPr>
                <w:rFonts w:asciiTheme="minorHAnsi" w:hAnsiTheme="minorHAnsi"/>
                <w:sz w:val="22"/>
                <w:szCs w:val="22"/>
              </w:rPr>
              <w:t>e</w:t>
            </w:r>
            <w:r>
              <w:rPr>
                <w:rFonts w:asciiTheme="minorHAnsi" w:hAnsiTheme="minorHAnsi"/>
                <w:sz w:val="22"/>
                <w:szCs w:val="22"/>
              </w:rPr>
              <w:t>.</w:t>
            </w:r>
            <w:r w:rsidRPr="00F31385">
              <w:rPr>
                <w:rFonts w:asciiTheme="minorHAnsi" w:hAnsiTheme="minorHAnsi"/>
                <w:sz w:val="22"/>
                <w:szCs w:val="22"/>
              </w:rPr>
              <w:t xml:space="preserve"> in case of emergency </w:t>
            </w:r>
          </w:p>
          <w:p w14:paraId="679AD162" w14:textId="77777777" w:rsidR="006E5119" w:rsidRPr="00F31385" w:rsidRDefault="006E5119" w:rsidP="006E5119">
            <w:pPr>
              <w:spacing w:before="120"/>
              <w:jc w:val="both"/>
              <w:rPr>
                <w:i/>
              </w:rPr>
            </w:pPr>
          </w:p>
          <w:p w14:paraId="395F8C3F" w14:textId="77777777" w:rsidR="006E5119" w:rsidRPr="00F31385" w:rsidRDefault="006E5119" w:rsidP="006E5119">
            <w:pPr>
              <w:spacing w:before="120"/>
              <w:jc w:val="both"/>
              <w:rPr>
                <w:b/>
                <w:i/>
              </w:rPr>
            </w:pPr>
            <w:r w:rsidRPr="00F31385">
              <w:rPr>
                <w:b/>
                <w:i/>
              </w:rPr>
              <w:t>Transfer to regions</w:t>
            </w:r>
          </w:p>
          <w:p w14:paraId="21941917" w14:textId="77777777" w:rsidR="006E5119" w:rsidRPr="00F31385" w:rsidRDefault="006E5119" w:rsidP="006E5119">
            <w:pPr>
              <w:spacing w:before="120"/>
              <w:ind w:firstLine="720"/>
              <w:jc w:val="both"/>
            </w:pPr>
            <w:r>
              <w:t>10</w:t>
            </w:r>
            <w:r w:rsidRPr="00F31385">
              <w:t xml:space="preserve">% of the pool earmarked for regions is allocated equally to each region, as a fixed sum; 28% is distributed proportionally to the population size, and 32% proportionally to the estimated surface road in each region. The formula for regions also adds an equalization effort; by allocating the remainder 30% of the funds according to a weighted scale for respectively plain, hilly and mountain conditions. </w:t>
            </w:r>
          </w:p>
        </w:tc>
      </w:tr>
    </w:tbl>
    <w:p w14:paraId="3474FED0" w14:textId="77777777" w:rsidR="006E5119" w:rsidRPr="00E428E1" w:rsidRDefault="006E5119" w:rsidP="006E5119">
      <w:pPr>
        <w:spacing w:before="120"/>
        <w:jc w:val="both"/>
      </w:pPr>
      <w:r w:rsidRPr="00F31385">
        <w:lastRenderedPageBreak/>
        <w:t xml:space="preserve">The unconditional transfer formula aims at achieving the objectives of vertical and horizontal equalization, while providing sufficient funds to local governments. The pool of this transfer in 2001 was determined based on the historic expenditures made by each line ministry for the functions that were being decentralized, which at the time of the 2001 budget constituted approximately 7.2% of total state budget tax revenues. </w:t>
      </w:r>
    </w:p>
    <w:p w14:paraId="07604855" w14:textId="77777777" w:rsidR="006E5119" w:rsidRPr="00EF5BFF" w:rsidRDefault="006E5119" w:rsidP="006E5119">
      <w:pPr>
        <w:spacing w:before="120"/>
        <w:jc w:val="both"/>
      </w:pPr>
      <w:r w:rsidRPr="00EF5BFF">
        <w:t>The total pool of the unconditional transfer (</w:t>
      </w:r>
      <w:proofErr w:type="gramStart"/>
      <w:r w:rsidRPr="00EF5BFF">
        <w:t>general purpose</w:t>
      </w:r>
      <w:proofErr w:type="gramEnd"/>
      <w:r w:rsidRPr="00EF5BFF">
        <w:t xml:space="preserve"> transfer) is determined each year through annual negotiations and through the Medium Term Budgeting </w:t>
      </w:r>
      <w:proofErr w:type="spellStart"/>
      <w:r w:rsidRPr="00EF5BFF">
        <w:t>Programme</w:t>
      </w:r>
      <w:proofErr w:type="spellEnd"/>
      <w:r w:rsidRPr="00EF5BFF">
        <w:t xml:space="preserve"> (</w:t>
      </w:r>
      <w:proofErr w:type="spellStart"/>
      <w:r w:rsidRPr="00EF5BFF">
        <w:t>MTBP</w:t>
      </w:r>
      <w:proofErr w:type="spellEnd"/>
      <w:r w:rsidRPr="00EF5BFF">
        <w:t xml:space="preserve">). The fiscal gap is </w:t>
      </w:r>
      <w:r w:rsidRPr="00EF5BFF">
        <w:lastRenderedPageBreak/>
        <w:t>adjusted for through unconditional transfers from the state budget and national shared taxes. The Corporate Profit Tax (</w:t>
      </w:r>
      <w:proofErr w:type="spellStart"/>
      <w:r w:rsidRPr="00EF5BFF">
        <w:t>CPT</w:t>
      </w:r>
      <w:proofErr w:type="spellEnd"/>
      <w:r w:rsidRPr="00EF5BFF">
        <w:t xml:space="preserve">) and the Personal Income Tax (PIT), which have been indicated by the Local Government Law as possible shared taxes still remain national. </w:t>
      </w:r>
    </w:p>
    <w:p w14:paraId="13C3A565" w14:textId="77777777" w:rsidR="006E5119" w:rsidRPr="000D43DC" w:rsidRDefault="006E5119" w:rsidP="006E5119">
      <w:pPr>
        <w:spacing w:before="120"/>
        <w:jc w:val="both"/>
      </w:pPr>
      <w:r w:rsidRPr="000D43DC">
        <w:t xml:space="preserve">The determination of the size of the unconditional transfer pool seems to have taken into account all sources available to local governments over the years. In 2003, when the Small business taxes and the </w:t>
      </w:r>
      <w:proofErr w:type="spellStart"/>
      <w:r w:rsidRPr="000D43DC">
        <w:t>VRT</w:t>
      </w:r>
      <w:proofErr w:type="spellEnd"/>
      <w:r w:rsidRPr="000D43DC">
        <w:t xml:space="preserve"> were allocated fully to local governments on a derivation basis, the total pool of the unconditional transfer was reduced by exactly the same amount of forecasted revenues from these two taxes. The vertical balance</w:t>
      </w:r>
      <w:r w:rsidRPr="000D43DC">
        <w:footnoteReference w:id="15"/>
      </w:r>
      <w:r w:rsidRPr="000D43DC">
        <w:t xml:space="preserve"> has decreased over the years, and is currently estimated at 5,6% of state budget tax revenues in 2012, down from 8.5% in 2006 and from 9.6% in 2002.</w:t>
      </w:r>
    </w:p>
    <w:p w14:paraId="53ACD63A" w14:textId="77777777" w:rsidR="006E5119" w:rsidRDefault="006E5119" w:rsidP="006E5119">
      <w:pPr>
        <w:jc w:val="both"/>
        <w:rPr>
          <w:lang w:val="en-GB"/>
        </w:rPr>
      </w:pPr>
    </w:p>
    <w:p w14:paraId="28A3544D" w14:textId="77777777" w:rsidR="006E5119" w:rsidRPr="00F31385" w:rsidRDefault="006E5119" w:rsidP="006E5119">
      <w:pPr>
        <w:pStyle w:val="Heading2"/>
        <w:jc w:val="both"/>
        <w:rPr>
          <w:rFonts w:asciiTheme="minorHAnsi" w:hAnsiTheme="minorHAnsi"/>
        </w:rPr>
      </w:pPr>
      <w:bookmarkStart w:id="25" w:name="_Toc253791349"/>
      <w:r>
        <w:rPr>
          <w:rFonts w:asciiTheme="minorHAnsi" w:hAnsiTheme="minorHAnsi"/>
        </w:rPr>
        <w:t>4</w:t>
      </w:r>
      <w:r w:rsidRPr="00F31385">
        <w:rPr>
          <w:rFonts w:asciiTheme="minorHAnsi" w:hAnsiTheme="minorHAnsi"/>
        </w:rPr>
        <w:t>.2 Conditional grants</w:t>
      </w:r>
      <w:bookmarkEnd w:id="25"/>
    </w:p>
    <w:p w14:paraId="1CE5D0A9" w14:textId="77777777" w:rsidR="006E5119" w:rsidRPr="00F31385" w:rsidRDefault="006E5119" w:rsidP="006E5119">
      <w:pPr>
        <w:jc w:val="both"/>
      </w:pPr>
    </w:p>
    <w:p w14:paraId="3782B032" w14:textId="77777777" w:rsidR="006E5119" w:rsidRDefault="006E5119" w:rsidP="006E5119">
      <w:pPr>
        <w:spacing w:before="120"/>
        <w:jc w:val="both"/>
      </w:pPr>
      <w:r w:rsidRPr="00F31385">
        <w:t xml:space="preserve">Expenditures for shared and delegated functions are mainly financed through conditional (or earmarked) transfers. Generally these funds cannot be carried over to the next year. </w:t>
      </w:r>
      <w:r>
        <w:t xml:space="preserve">Expenditures in the social protection sector make up for the </w:t>
      </w:r>
      <w:proofErr w:type="spellStart"/>
      <w:r>
        <w:t>lionshare</w:t>
      </w:r>
      <w:proofErr w:type="spellEnd"/>
      <w:r>
        <w:t xml:space="preserve"> of conditional grants (more then 90% in 2012). </w:t>
      </w:r>
    </w:p>
    <w:p w14:paraId="2BAE4EF9" w14:textId="77777777" w:rsidR="006E5119" w:rsidRPr="00AD6757" w:rsidRDefault="006E5119" w:rsidP="006E5119">
      <w:pPr>
        <w:spacing w:before="120"/>
        <w:jc w:val="both"/>
      </w:pPr>
      <w:r w:rsidRPr="00683204">
        <w:t xml:space="preserve">Social assistance is financed in the form of an earmarked </w:t>
      </w:r>
      <w:proofErr w:type="gramStart"/>
      <w:r w:rsidRPr="00683204">
        <w:t>block-grant</w:t>
      </w:r>
      <w:proofErr w:type="gramEnd"/>
      <w:r w:rsidRPr="00683204">
        <w:t xml:space="preserve"> from the state budget, and local governments have the authority to make the decisions on the allocation. The social assistance function can be considered as the only “true” shared function, as local governments have a defined responsibility in determining eligibility </w:t>
      </w:r>
      <w:r w:rsidRPr="00AD6757">
        <w:t xml:space="preserve">for the allocation of subsidies based on objective criteria established by law. Indeed, the National Strategy of Social </w:t>
      </w:r>
      <w:proofErr w:type="gramStart"/>
      <w:r w:rsidRPr="00AD6757">
        <w:t>Protection</w:t>
      </w:r>
      <w:r w:rsidRPr="00AD6757">
        <w:rPr>
          <w:strike/>
        </w:rPr>
        <w:t>,</w:t>
      </w:r>
      <w:proofErr w:type="gramEnd"/>
      <w:r w:rsidRPr="00AD6757">
        <w:t xml:space="preserve"> recognizes that local governments are best fit to provide social services to beneficiaries</w:t>
      </w:r>
      <w:r w:rsidRPr="00AD6757">
        <w:rPr>
          <w:strike/>
        </w:rPr>
        <w:t>,</w:t>
      </w:r>
      <w:r w:rsidRPr="00AD6757">
        <w:t xml:space="preserve"> by being able to target and deliver those services better due to the proximity with the community and specifics of the local context.  </w:t>
      </w:r>
    </w:p>
    <w:p w14:paraId="59187402" w14:textId="77777777" w:rsidR="006E5119" w:rsidRPr="00683204" w:rsidRDefault="006E5119" w:rsidP="006E5119">
      <w:pPr>
        <w:spacing w:before="120"/>
        <w:jc w:val="both"/>
      </w:pPr>
      <w:r w:rsidRPr="00AD6757">
        <w:t>The objectives of transfer from the central government to local government units are aimed at mitigating poverty and providing opportunities for basic services and minimum living conditions for all individuals in need. The main program under social protection services consists in the programs of cash benefits for the poor and for the disabled; these are financed by the state budget and directed through the local governments.</w:t>
      </w:r>
      <w:r w:rsidRPr="00683204">
        <w:t xml:space="preserve"> </w:t>
      </w:r>
    </w:p>
    <w:p w14:paraId="1A274A7E" w14:textId="77777777" w:rsidR="006E5119" w:rsidRDefault="006E5119" w:rsidP="006E5119">
      <w:pPr>
        <w:spacing w:before="120"/>
        <w:jc w:val="both"/>
      </w:pPr>
    </w:p>
    <w:p w14:paraId="70618E79" w14:textId="77777777" w:rsidR="006E5119" w:rsidRPr="00F31385" w:rsidRDefault="006E5119" w:rsidP="006E5119">
      <w:pPr>
        <w:spacing w:before="120"/>
        <w:jc w:val="both"/>
      </w:pPr>
      <w:r w:rsidRPr="00AD6757">
        <w:t>Conditional transfers in other sectors include</w:t>
      </w:r>
      <w:r w:rsidR="00AD6757" w:rsidRPr="00AD6757">
        <w:t xml:space="preserve"> subsidies for water systems </w:t>
      </w:r>
      <w:proofErr w:type="gramStart"/>
      <w:r w:rsidR="00AD6757" w:rsidRPr="00AD6757">
        <w:t>fro</w:t>
      </w:r>
      <w:r w:rsidRPr="00AD6757">
        <w:t>m  the</w:t>
      </w:r>
      <w:proofErr w:type="gramEnd"/>
      <w:r w:rsidRPr="00AD6757">
        <w:t xml:space="preserve"> Ministry of Public Works, grants to finance operations of regional vocational education schools from the Ministry of Education, furthermore, transfers for the promotion of economic development, etc. Conditional grants are decided annually during the state budget preparation stage, where the Ministry of Finance</w:t>
      </w:r>
      <w:r w:rsidRPr="00F31385">
        <w:t xml:space="preserve"> appropriates funds to the budget of line ministries for financing of local needs. The </w:t>
      </w:r>
      <w:proofErr w:type="gramStart"/>
      <w:r w:rsidRPr="00F31385">
        <w:t xml:space="preserve">individual allocation to local governments is </w:t>
      </w:r>
      <w:r>
        <w:t>carried out</w:t>
      </w:r>
      <w:r w:rsidRPr="00F31385">
        <w:t xml:space="preserve"> by the line ministries</w:t>
      </w:r>
      <w:proofErr w:type="gramEnd"/>
      <w:r w:rsidRPr="00F31385">
        <w:t xml:space="preserve"> directly. </w:t>
      </w:r>
      <w:r>
        <w:t xml:space="preserve">The relative importance of conditional </w:t>
      </w:r>
      <w:r w:rsidRPr="00AD6757">
        <w:lastRenderedPageBreak/>
        <w:t>grants for infrastructure funding has</w:t>
      </w:r>
      <w:r>
        <w:t xml:space="preserve"> now decreased, as the majority of local interest developments are financed through the Regional Development Fund (competitive grants).</w:t>
      </w:r>
    </w:p>
    <w:p w14:paraId="69A3BBD4" w14:textId="77777777" w:rsidR="006E5119" w:rsidRPr="00F31385" w:rsidRDefault="006E5119" w:rsidP="006E5119">
      <w:pPr>
        <w:spacing w:before="120"/>
        <w:jc w:val="both"/>
      </w:pPr>
    </w:p>
    <w:p w14:paraId="4969A83B" w14:textId="77777777" w:rsidR="006E5119" w:rsidRPr="00F31385" w:rsidRDefault="006E5119" w:rsidP="006E5119">
      <w:pPr>
        <w:pStyle w:val="Heading2"/>
        <w:jc w:val="both"/>
        <w:rPr>
          <w:rFonts w:asciiTheme="minorHAnsi" w:hAnsiTheme="minorHAnsi"/>
        </w:rPr>
      </w:pPr>
      <w:bookmarkStart w:id="26" w:name="_Toc253791350"/>
      <w:r>
        <w:rPr>
          <w:rFonts w:asciiTheme="minorHAnsi" w:hAnsiTheme="minorHAnsi"/>
        </w:rPr>
        <w:t>4</w:t>
      </w:r>
      <w:r w:rsidRPr="00F31385">
        <w:rPr>
          <w:rFonts w:asciiTheme="minorHAnsi" w:hAnsiTheme="minorHAnsi"/>
        </w:rPr>
        <w:t>.3 Competitive grants (Regional Development Fund)</w:t>
      </w:r>
      <w:bookmarkEnd w:id="26"/>
    </w:p>
    <w:p w14:paraId="7567AEB4" w14:textId="77777777" w:rsidR="006E5119" w:rsidRPr="00F31385" w:rsidRDefault="006E5119" w:rsidP="006E5119">
      <w:pPr>
        <w:spacing w:before="120"/>
        <w:jc w:val="both"/>
        <w:rPr>
          <w:rFonts w:cs="TimesNewRoman"/>
          <w:lang w:bidi="hi-IN"/>
        </w:rPr>
      </w:pPr>
      <w:r w:rsidRPr="00F31385">
        <w:rPr>
          <w:rFonts w:cs="TimesNewRoman"/>
          <w:lang w:bidi="hi-IN"/>
        </w:rPr>
        <w:t xml:space="preserve">The competitive grant scheme was initially introduced in 2006. An analysis of the allocation of investment funds for local own and shared functions had indicated a low performance, a tendency to </w:t>
      </w:r>
      <w:proofErr w:type="spellStart"/>
      <w:r w:rsidRPr="00F31385">
        <w:rPr>
          <w:rFonts w:cs="TimesNewRoman"/>
          <w:lang w:bidi="hi-IN"/>
        </w:rPr>
        <w:t>overfragmentize</w:t>
      </w:r>
      <w:proofErr w:type="spellEnd"/>
      <w:r w:rsidRPr="00F31385">
        <w:rPr>
          <w:rFonts w:cs="TimesNewRoman"/>
          <w:lang w:bidi="hi-IN"/>
        </w:rPr>
        <w:t xml:space="preserve"> funds, as well as high regional disparities in the allocation of investments. The system was judged to have been especially inefficient when line ministries allocated conditional investment grants directly to local governments, where a strong political bias was identified resulting in high variations in per capita allocation of funds; as well as lack of sustainability of projects, with many projects being left unfinished due to discontinued funding. The system was clearly lacking objectivity, predictability and transparency.</w:t>
      </w:r>
    </w:p>
    <w:p w14:paraId="25A63657" w14:textId="77777777" w:rsidR="006E5119" w:rsidRPr="00F31385" w:rsidRDefault="006E5119" w:rsidP="006E5119">
      <w:pPr>
        <w:spacing w:before="120"/>
        <w:jc w:val="both"/>
        <w:rPr>
          <w:rFonts w:cs="TimesNewRoman"/>
          <w:lang w:bidi="hi-IN"/>
        </w:rPr>
      </w:pPr>
      <w:r w:rsidRPr="00F31385">
        <w:rPr>
          <w:rFonts w:cs="TimesNewRoman"/>
          <w:lang w:bidi="hi-IN"/>
        </w:rPr>
        <w:t>The competitive grant mechanism was aimed at providing financing for mid to large sized investment projects in own functions, through an objective and merit-based evaluation approach. The state budget law of 2006 set forth a number of general criteria for the allocation of grants, on the basis of which the project applications by individual local governments (including regional councils) were to be evaluated:</w:t>
      </w:r>
    </w:p>
    <w:p w14:paraId="747F6053" w14:textId="77777777" w:rsidR="006E5119" w:rsidRPr="00F31385" w:rsidRDefault="006E5119" w:rsidP="006E5119">
      <w:pPr>
        <w:numPr>
          <w:ilvl w:val="0"/>
          <w:numId w:val="15"/>
        </w:numPr>
        <w:spacing w:after="0" w:line="240" w:lineRule="auto"/>
        <w:jc w:val="both"/>
      </w:pPr>
      <w:r w:rsidRPr="00F31385">
        <w:t>Expected impact on social and economic development; and the extent of alignment with local and/or regional and national development priorities</w:t>
      </w:r>
    </w:p>
    <w:p w14:paraId="559F3D3F" w14:textId="77777777" w:rsidR="006E5119" w:rsidRPr="00F31385" w:rsidRDefault="006E5119" w:rsidP="006E5119">
      <w:pPr>
        <w:numPr>
          <w:ilvl w:val="0"/>
          <w:numId w:val="15"/>
        </w:numPr>
        <w:spacing w:after="0" w:line="240" w:lineRule="auto"/>
        <w:jc w:val="both"/>
      </w:pPr>
      <w:r w:rsidRPr="00F31385">
        <w:t>Expected impact in poverty alleviation and increase in access to basic services</w:t>
      </w:r>
    </w:p>
    <w:p w14:paraId="58FD85B5" w14:textId="77777777" w:rsidR="006E5119" w:rsidRPr="00F31385" w:rsidRDefault="006E5119" w:rsidP="006E5119">
      <w:pPr>
        <w:numPr>
          <w:ilvl w:val="0"/>
          <w:numId w:val="15"/>
        </w:numPr>
        <w:spacing w:after="0" w:line="240" w:lineRule="auto"/>
        <w:jc w:val="both"/>
      </w:pPr>
      <w:r>
        <w:t>Availability</w:t>
      </w:r>
      <w:r w:rsidRPr="00F31385">
        <w:t xml:space="preserve"> of matching</w:t>
      </w:r>
      <w:r>
        <w:t>/contribution</w:t>
      </w:r>
      <w:r w:rsidRPr="00F31385">
        <w:t xml:space="preserve"> funds for </w:t>
      </w:r>
      <w:r>
        <w:t>the investment</w:t>
      </w:r>
    </w:p>
    <w:p w14:paraId="10FF5935" w14:textId="77777777" w:rsidR="006E5119" w:rsidRPr="00F31385" w:rsidRDefault="006E5119" w:rsidP="006E5119">
      <w:pPr>
        <w:numPr>
          <w:ilvl w:val="0"/>
          <w:numId w:val="15"/>
        </w:numPr>
        <w:spacing w:after="0" w:line="240" w:lineRule="auto"/>
        <w:jc w:val="both"/>
      </w:pPr>
      <w:r w:rsidRPr="00F31385">
        <w:t xml:space="preserve">Ongoing projects, with contractual liabilities </w:t>
      </w:r>
    </w:p>
    <w:p w14:paraId="2F0E01AC" w14:textId="77777777" w:rsidR="006E5119" w:rsidRPr="00F31385" w:rsidRDefault="006E5119" w:rsidP="006E5119">
      <w:pPr>
        <w:numPr>
          <w:ilvl w:val="0"/>
          <w:numId w:val="15"/>
        </w:numPr>
        <w:spacing w:after="0" w:line="240" w:lineRule="auto"/>
        <w:jc w:val="both"/>
      </w:pPr>
      <w:r w:rsidRPr="00F31385">
        <w:t xml:space="preserve">Quality of technical projects proposed by </w:t>
      </w:r>
      <w:r>
        <w:t xml:space="preserve">applicant </w:t>
      </w:r>
    </w:p>
    <w:p w14:paraId="4762FEE6" w14:textId="77777777" w:rsidR="006E5119" w:rsidRPr="00F31385" w:rsidRDefault="006E5119" w:rsidP="006E5119">
      <w:pPr>
        <w:spacing w:before="120"/>
        <w:jc w:val="both"/>
        <w:rPr>
          <w:rFonts w:cs="TimesNewRoman"/>
          <w:lang w:bidi="hi-IN"/>
        </w:rPr>
      </w:pPr>
    </w:p>
    <w:p w14:paraId="3BD9881C" w14:textId="77777777" w:rsidR="006E5119" w:rsidRPr="00F31385" w:rsidRDefault="006E5119" w:rsidP="006E5119">
      <w:pPr>
        <w:spacing w:before="120"/>
        <w:jc w:val="both"/>
        <w:rPr>
          <w:rFonts w:cs="TimesNewRoman"/>
          <w:lang w:bidi="hi-IN"/>
        </w:rPr>
      </w:pPr>
      <w:r>
        <w:rPr>
          <w:rFonts w:cs="TimesNewRoman"/>
          <w:lang w:bidi="hi-IN"/>
        </w:rPr>
        <w:t xml:space="preserve">In 2010 the competitive grant scheme was expanded to include other eligible categories such as universities and Water Basin Boards. The Committee for Regional Development chaired by the Deputy Prime Minister was designated as the leader of the process, assisted by the secretariat of the </w:t>
      </w:r>
      <w:r w:rsidRPr="00F31385">
        <w:rPr>
          <w:rFonts w:cs="TimesNewRoman"/>
          <w:lang w:bidi="hi-IN"/>
        </w:rPr>
        <w:t>Department for Strategy and Donor Coordination</w:t>
      </w:r>
      <w:r>
        <w:rPr>
          <w:rFonts w:cs="TimesNewRoman"/>
          <w:lang w:bidi="hi-IN"/>
        </w:rPr>
        <w:t xml:space="preserve">. </w:t>
      </w:r>
      <w:proofErr w:type="gramStart"/>
      <w:r>
        <w:rPr>
          <w:rFonts w:cs="TimesNewRoman"/>
          <w:lang w:bidi="hi-IN"/>
        </w:rPr>
        <w:t>Technical assistance is being provided by the Albanian Development Fund, a public investment fund with extensive experience in local government issues</w:t>
      </w:r>
      <w:proofErr w:type="gramEnd"/>
      <w:r>
        <w:rPr>
          <w:rFonts w:cs="TimesNewRoman"/>
          <w:lang w:bidi="hi-IN"/>
        </w:rPr>
        <w:t>.</w:t>
      </w:r>
    </w:p>
    <w:p w14:paraId="234769BF" w14:textId="77777777" w:rsidR="006E5119" w:rsidRDefault="006E5119" w:rsidP="006E5119">
      <w:pPr>
        <w:jc w:val="both"/>
        <w:rPr>
          <w:rFonts w:cs="TimesNewRoman"/>
          <w:lang w:bidi="hi-IN"/>
        </w:rPr>
      </w:pPr>
      <w:r w:rsidRPr="00F31385">
        <w:rPr>
          <w:rFonts w:cs="TimesNewRoman"/>
          <w:lang w:bidi="hi-IN"/>
        </w:rPr>
        <w:t>The criteria are obviously too general to be measurable or objective</w:t>
      </w:r>
      <w:r>
        <w:rPr>
          <w:rFonts w:cs="TimesNewRoman"/>
          <w:lang w:bidi="hi-IN"/>
        </w:rPr>
        <w:t>;</w:t>
      </w:r>
      <w:r w:rsidRPr="00F31385">
        <w:rPr>
          <w:rFonts w:cs="TimesNewRoman"/>
          <w:lang w:bidi="hi-IN"/>
        </w:rPr>
        <w:t xml:space="preserve"> however</w:t>
      </w:r>
      <w:r>
        <w:rPr>
          <w:rFonts w:cs="TimesNewRoman"/>
          <w:lang w:bidi="hi-IN"/>
        </w:rPr>
        <w:t>,</w:t>
      </w:r>
      <w:r w:rsidRPr="00F31385">
        <w:rPr>
          <w:rFonts w:cs="TimesNewRoman"/>
          <w:lang w:bidi="hi-IN"/>
        </w:rPr>
        <w:t xml:space="preserve"> </w:t>
      </w:r>
      <w:r>
        <w:rPr>
          <w:rFonts w:cs="TimesNewRoman"/>
          <w:lang w:bidi="hi-IN"/>
        </w:rPr>
        <w:t>the</w:t>
      </w:r>
      <w:r w:rsidR="00AD6757">
        <w:rPr>
          <w:rFonts w:cs="TimesNewRoman"/>
          <w:lang w:bidi="hi-IN"/>
        </w:rPr>
        <w:t xml:space="preserve"> </w:t>
      </w:r>
      <w:r>
        <w:rPr>
          <w:rFonts w:cs="TimesNewRoman"/>
          <w:lang w:bidi="hi-IN"/>
        </w:rPr>
        <w:t>introduction of the competitive grant system</w:t>
      </w:r>
      <w:r w:rsidRPr="00F31385">
        <w:rPr>
          <w:rFonts w:cs="TimesNewRoman"/>
          <w:lang w:bidi="hi-IN"/>
        </w:rPr>
        <w:t xml:space="preserve"> already marked a </w:t>
      </w:r>
      <w:r w:rsidRPr="007E6439">
        <w:rPr>
          <w:rFonts w:cs="Times New Roman"/>
        </w:rPr>
        <w:t>considerable</w:t>
      </w:r>
      <w:r w:rsidRPr="00F31385">
        <w:rPr>
          <w:rFonts w:cs="TimesNewRoman"/>
          <w:lang w:bidi="hi-IN"/>
        </w:rPr>
        <w:t xml:space="preserve"> departure from the previous system. Funds originally used for the financing of local infrastructure in own functions – mostly road infrastructure – were taken out of the line ministry’s budget and a separate pool for the financing of own functions was created as a new line item in the state budget.</w:t>
      </w:r>
    </w:p>
    <w:p w14:paraId="05B09A7C" w14:textId="77777777" w:rsidR="006E5119" w:rsidRDefault="006E5119" w:rsidP="006E5119">
      <w:pPr>
        <w:spacing w:before="120"/>
        <w:jc w:val="both"/>
        <w:rPr>
          <w:rFonts w:cs="TimesNewRoman"/>
          <w:lang w:bidi="hi-IN"/>
        </w:rPr>
      </w:pPr>
    </w:p>
    <w:p w14:paraId="63232F35" w14:textId="77777777" w:rsidR="006E5119" w:rsidRDefault="006E5119" w:rsidP="006E5119">
      <w:pPr>
        <w:jc w:val="both"/>
        <w:rPr>
          <w:rFonts w:ascii="TimesNewRoman" w:hAnsi="TimesNewRoman" w:cs="TimesNewRoman"/>
          <w:lang w:bidi="hi-IN"/>
        </w:rPr>
      </w:pPr>
      <w:r>
        <w:rPr>
          <w:rFonts w:ascii="TimesNewRoman" w:hAnsi="TimesNewRoman" w:cs="TimesNewRoman"/>
          <w:lang w:bidi="hi-IN"/>
        </w:rPr>
        <w:lastRenderedPageBreak/>
        <w:t>T</w:t>
      </w:r>
      <w:r w:rsidRPr="00583747">
        <w:rPr>
          <w:rFonts w:ascii="TimesNewRoman" w:hAnsi="TimesNewRoman" w:cs="TimesNewRoman"/>
          <w:lang w:bidi="hi-IN"/>
        </w:rPr>
        <w:t>he concept for the mechanism has good chances to succeed in achieving the objectives of transparency and equity</w:t>
      </w:r>
      <w:r w:rsidRPr="002C5383">
        <w:rPr>
          <w:rFonts w:ascii="TimesNewRoman" w:hAnsi="TimesNewRoman" w:cs="TimesNewRoman"/>
          <w:vertAlign w:val="superscript"/>
          <w:lang w:bidi="hi-IN"/>
        </w:rPr>
        <w:footnoteReference w:id="16"/>
      </w:r>
      <w:r w:rsidR="00AD6757">
        <w:rPr>
          <w:rFonts w:ascii="TimesNewRoman" w:hAnsi="TimesNewRoman" w:cs="TimesNewRoman"/>
          <w:lang w:bidi="hi-IN"/>
        </w:rPr>
        <w:t>. However,</w:t>
      </w:r>
      <w:r w:rsidRPr="00583747">
        <w:rPr>
          <w:rFonts w:ascii="TimesNewRoman" w:hAnsi="TimesNewRoman" w:cs="TimesNewRoman"/>
          <w:lang w:bidi="hi-IN"/>
        </w:rPr>
        <w:t xml:space="preserve"> </w:t>
      </w:r>
      <w:r w:rsidR="00AD6757">
        <w:rPr>
          <w:rFonts w:ascii="TimesNewRoman" w:hAnsi="TimesNewRoman" w:cs="TimesNewRoman"/>
          <w:lang w:bidi="hi-IN"/>
        </w:rPr>
        <w:t>the criteria and standards for the evaluation and allocation of grants need to be made more specific and measurable</w:t>
      </w:r>
      <w:proofErr w:type="gramStart"/>
      <w:r w:rsidR="00AD6757">
        <w:rPr>
          <w:rFonts w:ascii="TimesNewRoman" w:hAnsi="TimesNewRoman" w:cs="TimesNewRoman"/>
          <w:lang w:bidi="hi-IN"/>
        </w:rPr>
        <w:t>.</w:t>
      </w:r>
      <w:r>
        <w:rPr>
          <w:rFonts w:ascii="TimesNewRoman" w:hAnsi="TimesNewRoman" w:cs="TimesNewRoman"/>
          <w:lang w:bidi="hi-IN"/>
        </w:rPr>
        <w:t>.</w:t>
      </w:r>
      <w:proofErr w:type="gramEnd"/>
      <w:r>
        <w:rPr>
          <w:rFonts w:ascii="TimesNewRoman" w:hAnsi="TimesNewRoman" w:cs="TimesNewRoman"/>
          <w:lang w:bidi="hi-IN"/>
        </w:rPr>
        <w:t xml:space="preserve"> Local governments often complain about two crucial aspects of intergovernmental transfers: clear </w:t>
      </w:r>
      <w:r w:rsidRPr="00AD6757">
        <w:rPr>
          <w:rFonts w:ascii="TimesNewRoman" w:hAnsi="TimesNewRoman" w:cs="TimesNewRoman"/>
          <w:lang w:bidi="hi-IN"/>
        </w:rPr>
        <w:t xml:space="preserve">objectives shared in advance, as well as predictability of </w:t>
      </w:r>
      <w:r w:rsidRPr="00AD6757">
        <w:rPr>
          <w:rFonts w:cs="Times New Roman"/>
        </w:rPr>
        <w:t>funding</w:t>
      </w:r>
      <w:r w:rsidRPr="00AD6757">
        <w:rPr>
          <w:rFonts w:ascii="TimesNewRoman" w:hAnsi="TimesNewRoman" w:cs="TimesNewRoman"/>
          <w:lang w:bidi="hi-IN"/>
        </w:rPr>
        <w:t>. Timing of project submission and allocation is also</w:t>
      </w:r>
      <w:r>
        <w:rPr>
          <w:rFonts w:ascii="TimesNewRoman" w:hAnsi="TimesNewRoman" w:cs="TimesNewRoman"/>
          <w:lang w:bidi="hi-IN"/>
        </w:rPr>
        <w:t xml:space="preserve"> inappropriate in terms of ensuring the proper project cycle, in line with the budgetary requirements – announcements and </w:t>
      </w:r>
      <w:r w:rsidRPr="007E6439">
        <w:rPr>
          <w:rFonts w:cs="Times New Roman"/>
        </w:rPr>
        <w:t>allocation</w:t>
      </w:r>
      <w:r>
        <w:rPr>
          <w:rFonts w:ascii="TimesNewRoman" w:hAnsi="TimesNewRoman" w:cs="TimesNewRoman"/>
          <w:lang w:bidi="hi-IN"/>
        </w:rPr>
        <w:t xml:space="preserve"> are made late in the year, and disrupt the local government’s normal cycle of operations. Furthermore, many claim that the actual criteria of allocation should be shared in advance of the budget year, as well as some sort of “competition within categories” should be introduced.</w:t>
      </w:r>
    </w:p>
    <w:p w14:paraId="57D6EBE1" w14:textId="77777777" w:rsidR="00CF251F" w:rsidRDefault="006E5119" w:rsidP="006E5119">
      <w:pPr>
        <w:jc w:val="both"/>
        <w:rPr>
          <w:rFonts w:ascii="TimesNewRoman" w:hAnsi="TimesNewRoman" w:cs="TimesNewRoman"/>
          <w:lang w:bidi="hi-IN"/>
        </w:rPr>
      </w:pPr>
      <w:r w:rsidRPr="00AD6757">
        <w:rPr>
          <w:rFonts w:ascii="TimesNewRoman" w:hAnsi="TimesNewRoman" w:cs="TimesNewRoman"/>
          <w:lang w:bidi="hi-IN"/>
        </w:rPr>
        <w:t xml:space="preserve">As regards efficiency of competitive grants, another shortcoming in the system is to be considered, namely the </w:t>
      </w:r>
      <w:r w:rsidRPr="00AD6757">
        <w:rPr>
          <w:rFonts w:cs="Times New Roman"/>
        </w:rPr>
        <w:t>average</w:t>
      </w:r>
      <w:r w:rsidRPr="00AD6757">
        <w:rPr>
          <w:rFonts w:ascii="TimesNewRoman" w:hAnsi="TimesNewRoman" w:cs="TimesNewRoman"/>
          <w:lang w:bidi="hi-IN"/>
        </w:rPr>
        <w:t xml:space="preserve"> size of the projects, which is rather small. The original concept behind the establishment of mechanisms was to finance larger scale municipal infrastructure, which would typically be beyond the means of their discretionary budgets. However, it seems that the policymaking officials could not resist the pressure of having to “satisfy’’ more units instead of financing bigger projects in less units. In April 2013, the </w:t>
      </w:r>
      <w:proofErr w:type="spellStart"/>
      <w:r w:rsidRPr="00AD6757">
        <w:rPr>
          <w:rFonts w:ascii="TimesNewRoman" w:hAnsi="TimesNewRoman" w:cs="TimesNewRoman"/>
          <w:lang w:bidi="hi-IN"/>
        </w:rPr>
        <w:t>RDF</w:t>
      </w:r>
      <w:proofErr w:type="spellEnd"/>
      <w:r w:rsidRPr="00AD6757">
        <w:rPr>
          <w:rFonts w:ascii="TimesNewRoman" w:hAnsi="TimesNewRoman" w:cs="TimesNewRoman"/>
          <w:lang w:bidi="hi-IN"/>
        </w:rPr>
        <w:t xml:space="preserve"> allocated grants for 49 road infrastructure projects at an average value of 107,000 Euros, and 42 education projects with an </w:t>
      </w:r>
      <w:proofErr w:type="gramStart"/>
      <w:r w:rsidRPr="00AD6757">
        <w:rPr>
          <w:rFonts w:ascii="TimesNewRoman" w:hAnsi="TimesNewRoman" w:cs="TimesNewRoman"/>
          <w:lang w:bidi="hi-IN"/>
        </w:rPr>
        <w:t>average</w:t>
      </w:r>
      <w:proofErr w:type="gramEnd"/>
      <w:r w:rsidRPr="00AD6757">
        <w:rPr>
          <w:rFonts w:ascii="TimesNewRoman" w:hAnsi="TimesNewRoman" w:cs="TimesNewRoman"/>
          <w:lang w:bidi="hi-IN"/>
        </w:rPr>
        <w:t xml:space="preserve"> value of 23,000 Euros.</w:t>
      </w:r>
    </w:p>
    <w:p w14:paraId="6B23F898" w14:textId="77777777" w:rsidR="00CF251F" w:rsidRDefault="00CF251F" w:rsidP="006E5119">
      <w:pPr>
        <w:jc w:val="both"/>
        <w:rPr>
          <w:rFonts w:ascii="TimesNewRoman" w:hAnsi="TimesNewRoman" w:cs="TimesNewRoman"/>
          <w:lang w:bidi="hi-IN"/>
        </w:rPr>
      </w:pPr>
    </w:p>
    <w:p w14:paraId="5E04C199" w14:textId="77777777" w:rsidR="00CF251F" w:rsidRDefault="00CF251F" w:rsidP="006E5119">
      <w:pPr>
        <w:jc w:val="both"/>
        <w:rPr>
          <w:rFonts w:ascii="TimesNewRoman" w:hAnsi="TimesNewRoman" w:cs="TimesNewRoman"/>
          <w:lang w:bidi="hi-IN"/>
        </w:rPr>
        <w:sectPr w:rsidR="00CF251F">
          <w:pgSz w:w="12240" w:h="15840"/>
          <w:pgMar w:top="1440" w:right="1440" w:bottom="1440" w:left="1440" w:header="720" w:footer="720" w:gutter="0"/>
          <w:cols w:space="720"/>
          <w:docGrid w:linePitch="360"/>
        </w:sectPr>
      </w:pPr>
    </w:p>
    <w:p w14:paraId="7783F773" w14:textId="77777777" w:rsidR="006E5119" w:rsidRPr="00F31385" w:rsidRDefault="006E5119" w:rsidP="006E5119">
      <w:pPr>
        <w:pStyle w:val="Heading1"/>
        <w:pageBreakBefore/>
        <w:jc w:val="both"/>
        <w:rPr>
          <w:rFonts w:asciiTheme="minorHAnsi" w:hAnsiTheme="minorHAnsi"/>
        </w:rPr>
      </w:pPr>
      <w:bookmarkStart w:id="27" w:name="_Toc253791351"/>
      <w:r>
        <w:rPr>
          <w:rFonts w:asciiTheme="minorHAnsi" w:hAnsiTheme="minorHAnsi"/>
        </w:rPr>
        <w:lastRenderedPageBreak/>
        <w:t>5</w:t>
      </w:r>
      <w:r w:rsidRPr="00F31385">
        <w:rPr>
          <w:rFonts w:asciiTheme="minorHAnsi" w:hAnsiTheme="minorHAnsi"/>
        </w:rPr>
        <w:t xml:space="preserve"> Budget credibility – planned vs</w:t>
      </w:r>
      <w:r>
        <w:rPr>
          <w:rFonts w:asciiTheme="minorHAnsi" w:hAnsiTheme="minorHAnsi"/>
        </w:rPr>
        <w:t>.</w:t>
      </w:r>
      <w:r w:rsidRPr="00F31385">
        <w:rPr>
          <w:rFonts w:asciiTheme="minorHAnsi" w:hAnsiTheme="minorHAnsi"/>
        </w:rPr>
        <w:t xml:space="preserve"> actual revenues</w:t>
      </w:r>
      <w:bookmarkEnd w:id="27"/>
    </w:p>
    <w:p w14:paraId="1CB8F40F" w14:textId="77777777" w:rsidR="006E5119" w:rsidRDefault="006E5119" w:rsidP="00CF251F">
      <w:pPr>
        <w:jc w:val="both"/>
      </w:pPr>
    </w:p>
    <w:p w14:paraId="7E77B1E5" w14:textId="77777777" w:rsidR="006E5119" w:rsidRPr="00F31385" w:rsidRDefault="006E5119" w:rsidP="006E5119">
      <w:pPr>
        <w:jc w:val="both"/>
      </w:pPr>
      <w:r>
        <w:t>Budget credibility is a major source of concern for local governments</w:t>
      </w:r>
      <w:r w:rsidRPr="002D4830">
        <w:t>. In recent years, the difficult financial situation and the fiscal austerity measures of central government, resulting in general budget cuts and therefore in repeated downward revisions of initial grant forecasts, put several local governments into an extremely difficult financial situation. Indeed, several local governments are on</w:t>
      </w:r>
      <w:r>
        <w:t xml:space="preserve"> the brink of insolvency. </w:t>
      </w:r>
    </w:p>
    <w:tbl>
      <w:tblPr>
        <w:tblW w:w="4919" w:type="pct"/>
        <w:tblLook w:val="04A0" w:firstRow="1" w:lastRow="0" w:firstColumn="1" w:lastColumn="0" w:noHBand="0" w:noVBand="1"/>
      </w:tblPr>
      <w:tblGrid>
        <w:gridCol w:w="688"/>
        <w:gridCol w:w="2572"/>
        <w:gridCol w:w="1211"/>
        <w:gridCol w:w="1211"/>
        <w:gridCol w:w="1216"/>
        <w:gridCol w:w="1211"/>
        <w:gridCol w:w="1211"/>
        <w:gridCol w:w="1216"/>
        <w:gridCol w:w="1211"/>
        <w:gridCol w:w="1216"/>
      </w:tblGrid>
      <w:tr w:rsidR="002D4830" w:rsidRPr="002D4830" w14:paraId="5355B619" w14:textId="77777777" w:rsidTr="002D4830">
        <w:trPr>
          <w:trHeight w:val="840"/>
        </w:trPr>
        <w:tc>
          <w:tcPr>
            <w:tcW w:w="265" w:type="pct"/>
            <w:tcBorders>
              <w:top w:val="nil"/>
              <w:left w:val="nil"/>
              <w:bottom w:val="nil"/>
              <w:right w:val="nil"/>
            </w:tcBorders>
            <w:shd w:val="clear" w:color="auto" w:fill="auto"/>
            <w:noWrap/>
            <w:vAlign w:val="bottom"/>
            <w:hideMark/>
          </w:tcPr>
          <w:p w14:paraId="50F0A536"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No</w:t>
            </w:r>
          </w:p>
        </w:tc>
        <w:tc>
          <w:tcPr>
            <w:tcW w:w="992" w:type="pct"/>
            <w:tcBorders>
              <w:top w:val="nil"/>
              <w:left w:val="nil"/>
              <w:bottom w:val="nil"/>
              <w:right w:val="nil"/>
            </w:tcBorders>
            <w:shd w:val="clear" w:color="auto" w:fill="auto"/>
            <w:noWrap/>
            <w:vAlign w:val="bottom"/>
            <w:hideMark/>
          </w:tcPr>
          <w:p w14:paraId="3AFEEEBF" w14:textId="77777777" w:rsidR="00CF251F" w:rsidRDefault="00CF251F" w:rsidP="002D4830">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Type of revenue</w:t>
            </w:r>
          </w:p>
          <w:p w14:paraId="6119DEF7" w14:textId="77777777" w:rsidR="002D4830" w:rsidRPr="002D4830" w:rsidRDefault="002D4830" w:rsidP="002D4830">
            <w:pPr>
              <w:spacing w:after="0" w:line="240" w:lineRule="auto"/>
              <w:rPr>
                <w:rFonts w:ascii="Calibri" w:eastAsia="Times New Roman" w:hAnsi="Calibri" w:cs="Times New Roman"/>
                <w:color w:val="000000"/>
                <w:sz w:val="20"/>
                <w:szCs w:val="20"/>
              </w:rPr>
            </w:pPr>
          </w:p>
        </w:tc>
        <w:tc>
          <w:tcPr>
            <w:tcW w:w="467" w:type="pct"/>
            <w:tcBorders>
              <w:top w:val="nil"/>
              <w:left w:val="nil"/>
              <w:bottom w:val="nil"/>
              <w:right w:val="nil"/>
            </w:tcBorders>
            <w:shd w:val="clear" w:color="auto" w:fill="auto"/>
            <w:vAlign w:val="bottom"/>
            <w:hideMark/>
          </w:tcPr>
          <w:p w14:paraId="388B91CF" w14:textId="77777777" w:rsidR="00CF251F"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Plan 2012</w:t>
            </w:r>
          </w:p>
          <w:p w14:paraId="5D657123" w14:textId="77777777" w:rsidR="002D4830" w:rsidRPr="002D4830" w:rsidRDefault="002D4830" w:rsidP="00CF251F">
            <w:pPr>
              <w:spacing w:after="0" w:line="240" w:lineRule="auto"/>
              <w:rPr>
                <w:rFonts w:ascii="Calibri" w:eastAsia="Times New Roman" w:hAnsi="Calibri" w:cs="Times New Roman"/>
                <w:b/>
                <w:bCs/>
                <w:color w:val="000000"/>
                <w:sz w:val="20"/>
                <w:szCs w:val="20"/>
              </w:rPr>
            </w:pPr>
          </w:p>
        </w:tc>
        <w:tc>
          <w:tcPr>
            <w:tcW w:w="467" w:type="pct"/>
            <w:tcBorders>
              <w:top w:val="nil"/>
              <w:left w:val="nil"/>
              <w:bottom w:val="nil"/>
              <w:right w:val="nil"/>
            </w:tcBorders>
            <w:shd w:val="clear" w:color="auto" w:fill="auto"/>
            <w:vAlign w:val="bottom"/>
            <w:hideMark/>
          </w:tcPr>
          <w:p w14:paraId="17B23BBC" w14:textId="77777777" w:rsidR="002D4830"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Actual 2012</w:t>
            </w:r>
          </w:p>
          <w:p w14:paraId="2BAA63FB" w14:textId="77777777" w:rsidR="00CF251F" w:rsidRPr="002D4830"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 xml:space="preserve"> </w:t>
            </w:r>
          </w:p>
        </w:tc>
        <w:tc>
          <w:tcPr>
            <w:tcW w:w="469" w:type="pct"/>
            <w:tcBorders>
              <w:top w:val="nil"/>
              <w:left w:val="nil"/>
              <w:bottom w:val="nil"/>
              <w:right w:val="nil"/>
            </w:tcBorders>
            <w:shd w:val="clear" w:color="auto" w:fill="auto"/>
            <w:vAlign w:val="bottom"/>
            <w:hideMark/>
          </w:tcPr>
          <w:p w14:paraId="42CA4F01" w14:textId="77777777" w:rsidR="00CF251F" w:rsidRPr="002D4830"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Fact/plan 2012</w:t>
            </w:r>
          </w:p>
        </w:tc>
        <w:tc>
          <w:tcPr>
            <w:tcW w:w="467" w:type="pct"/>
            <w:tcBorders>
              <w:top w:val="nil"/>
              <w:left w:val="nil"/>
              <w:bottom w:val="nil"/>
              <w:right w:val="nil"/>
            </w:tcBorders>
            <w:shd w:val="clear" w:color="auto" w:fill="auto"/>
            <w:vAlign w:val="bottom"/>
            <w:hideMark/>
          </w:tcPr>
          <w:p w14:paraId="6645A364" w14:textId="77777777" w:rsidR="00CF251F"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Plan 2013</w:t>
            </w:r>
          </w:p>
          <w:p w14:paraId="189A1EDA" w14:textId="77777777" w:rsidR="002D4830" w:rsidRPr="002D4830" w:rsidRDefault="002D4830" w:rsidP="00CF251F">
            <w:pPr>
              <w:spacing w:after="0" w:line="240" w:lineRule="auto"/>
              <w:rPr>
                <w:rFonts w:ascii="Calibri" w:eastAsia="Times New Roman" w:hAnsi="Calibri" w:cs="Times New Roman"/>
                <w:b/>
                <w:bCs/>
                <w:color w:val="000000"/>
                <w:sz w:val="20"/>
                <w:szCs w:val="20"/>
              </w:rPr>
            </w:pPr>
          </w:p>
        </w:tc>
        <w:tc>
          <w:tcPr>
            <w:tcW w:w="467" w:type="pct"/>
            <w:tcBorders>
              <w:top w:val="nil"/>
              <w:left w:val="nil"/>
              <w:bottom w:val="nil"/>
              <w:right w:val="nil"/>
            </w:tcBorders>
            <w:shd w:val="clear" w:color="auto" w:fill="auto"/>
            <w:vAlign w:val="bottom"/>
            <w:hideMark/>
          </w:tcPr>
          <w:p w14:paraId="6B9E5DC5" w14:textId="77777777" w:rsidR="00CF251F"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Actual 2013</w:t>
            </w:r>
          </w:p>
          <w:p w14:paraId="358040D5" w14:textId="77777777" w:rsidR="002D4830" w:rsidRPr="002D4830" w:rsidRDefault="002D4830" w:rsidP="00CF251F">
            <w:pPr>
              <w:spacing w:after="0" w:line="240" w:lineRule="auto"/>
              <w:rPr>
                <w:rFonts w:ascii="Calibri" w:eastAsia="Times New Roman" w:hAnsi="Calibri" w:cs="Times New Roman"/>
                <w:b/>
                <w:bCs/>
                <w:color w:val="000000"/>
                <w:sz w:val="20"/>
                <w:szCs w:val="20"/>
              </w:rPr>
            </w:pPr>
          </w:p>
        </w:tc>
        <w:tc>
          <w:tcPr>
            <w:tcW w:w="469" w:type="pct"/>
            <w:tcBorders>
              <w:top w:val="nil"/>
              <w:left w:val="nil"/>
              <w:bottom w:val="nil"/>
              <w:right w:val="nil"/>
            </w:tcBorders>
            <w:shd w:val="clear" w:color="auto" w:fill="auto"/>
            <w:vAlign w:val="bottom"/>
            <w:hideMark/>
          </w:tcPr>
          <w:p w14:paraId="1444055F" w14:textId="77777777" w:rsidR="00CF251F" w:rsidRPr="002D4830"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Fact/plan 2013</w:t>
            </w:r>
          </w:p>
        </w:tc>
        <w:tc>
          <w:tcPr>
            <w:tcW w:w="467" w:type="pct"/>
            <w:tcBorders>
              <w:top w:val="nil"/>
              <w:left w:val="nil"/>
              <w:bottom w:val="nil"/>
              <w:right w:val="nil"/>
            </w:tcBorders>
            <w:shd w:val="clear" w:color="auto" w:fill="auto"/>
            <w:vAlign w:val="bottom"/>
            <w:hideMark/>
          </w:tcPr>
          <w:p w14:paraId="108EC6C3" w14:textId="77777777" w:rsidR="00CF251F" w:rsidRPr="002D4830"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Plan 2013/ Plan 2012</w:t>
            </w:r>
          </w:p>
        </w:tc>
        <w:tc>
          <w:tcPr>
            <w:tcW w:w="469" w:type="pct"/>
            <w:tcBorders>
              <w:top w:val="nil"/>
              <w:left w:val="nil"/>
              <w:bottom w:val="nil"/>
              <w:right w:val="nil"/>
            </w:tcBorders>
            <w:shd w:val="clear" w:color="auto" w:fill="auto"/>
            <w:vAlign w:val="bottom"/>
            <w:hideMark/>
          </w:tcPr>
          <w:p w14:paraId="506BD1A0" w14:textId="77777777" w:rsidR="00CF251F" w:rsidRPr="002D4830" w:rsidRDefault="002D4830" w:rsidP="00CF251F">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Actual </w:t>
            </w:r>
            <w:r w:rsidR="00CF251F" w:rsidRPr="002D4830">
              <w:rPr>
                <w:rFonts w:ascii="Calibri" w:eastAsia="Times New Roman" w:hAnsi="Calibri" w:cs="Times New Roman"/>
                <w:b/>
                <w:bCs/>
                <w:color w:val="000000"/>
                <w:sz w:val="20"/>
                <w:szCs w:val="20"/>
              </w:rPr>
              <w:t>13/ Actual 2012</w:t>
            </w:r>
          </w:p>
        </w:tc>
      </w:tr>
      <w:tr w:rsidR="002D4830" w:rsidRPr="002D4830" w14:paraId="08614D0D" w14:textId="77777777" w:rsidTr="002D4830">
        <w:trPr>
          <w:trHeight w:val="280"/>
        </w:trPr>
        <w:tc>
          <w:tcPr>
            <w:tcW w:w="265" w:type="pct"/>
            <w:tcBorders>
              <w:top w:val="nil"/>
              <w:left w:val="nil"/>
              <w:bottom w:val="nil"/>
              <w:right w:val="nil"/>
            </w:tcBorders>
            <w:shd w:val="clear" w:color="auto" w:fill="auto"/>
            <w:noWrap/>
            <w:vAlign w:val="bottom"/>
            <w:hideMark/>
          </w:tcPr>
          <w:p w14:paraId="1A37C828"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I</w:t>
            </w:r>
          </w:p>
        </w:tc>
        <w:tc>
          <w:tcPr>
            <w:tcW w:w="992" w:type="pct"/>
            <w:tcBorders>
              <w:top w:val="nil"/>
              <w:left w:val="nil"/>
              <w:bottom w:val="nil"/>
              <w:right w:val="nil"/>
            </w:tcBorders>
            <w:shd w:val="clear" w:color="auto" w:fill="auto"/>
            <w:noWrap/>
            <w:vAlign w:val="bottom"/>
            <w:hideMark/>
          </w:tcPr>
          <w:p w14:paraId="69066FA9" w14:textId="77777777" w:rsidR="00CF251F" w:rsidRPr="002D4830"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Tax revenue</w:t>
            </w:r>
          </w:p>
        </w:tc>
        <w:tc>
          <w:tcPr>
            <w:tcW w:w="467" w:type="pct"/>
            <w:tcBorders>
              <w:top w:val="nil"/>
              <w:left w:val="nil"/>
              <w:bottom w:val="nil"/>
              <w:right w:val="nil"/>
            </w:tcBorders>
            <w:shd w:val="clear" w:color="auto" w:fill="auto"/>
            <w:noWrap/>
            <w:vAlign w:val="bottom"/>
            <w:hideMark/>
          </w:tcPr>
          <w:p w14:paraId="36F68B06"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123,900 </w:t>
            </w:r>
          </w:p>
        </w:tc>
        <w:tc>
          <w:tcPr>
            <w:tcW w:w="467" w:type="pct"/>
            <w:tcBorders>
              <w:top w:val="nil"/>
              <w:left w:val="nil"/>
              <w:bottom w:val="nil"/>
              <w:right w:val="nil"/>
            </w:tcBorders>
            <w:shd w:val="clear" w:color="auto" w:fill="auto"/>
            <w:noWrap/>
            <w:vAlign w:val="bottom"/>
            <w:hideMark/>
          </w:tcPr>
          <w:p w14:paraId="2B403CD9"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53,044 </w:t>
            </w:r>
          </w:p>
        </w:tc>
        <w:tc>
          <w:tcPr>
            <w:tcW w:w="469" w:type="pct"/>
            <w:tcBorders>
              <w:top w:val="nil"/>
              <w:left w:val="nil"/>
              <w:bottom w:val="nil"/>
              <w:right w:val="nil"/>
            </w:tcBorders>
            <w:shd w:val="clear" w:color="auto" w:fill="auto"/>
            <w:noWrap/>
            <w:vAlign w:val="bottom"/>
            <w:hideMark/>
          </w:tcPr>
          <w:p w14:paraId="5A6B183D"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43%</w:t>
            </w:r>
          </w:p>
        </w:tc>
        <w:tc>
          <w:tcPr>
            <w:tcW w:w="467" w:type="pct"/>
            <w:tcBorders>
              <w:top w:val="nil"/>
              <w:left w:val="nil"/>
              <w:bottom w:val="nil"/>
              <w:right w:val="nil"/>
            </w:tcBorders>
            <w:shd w:val="clear" w:color="auto" w:fill="auto"/>
            <w:noWrap/>
            <w:vAlign w:val="bottom"/>
            <w:hideMark/>
          </w:tcPr>
          <w:p w14:paraId="598DB9F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131,306 </w:t>
            </w:r>
          </w:p>
        </w:tc>
        <w:tc>
          <w:tcPr>
            <w:tcW w:w="467" w:type="pct"/>
            <w:tcBorders>
              <w:top w:val="nil"/>
              <w:left w:val="nil"/>
              <w:bottom w:val="nil"/>
              <w:right w:val="nil"/>
            </w:tcBorders>
            <w:shd w:val="clear" w:color="auto" w:fill="auto"/>
            <w:noWrap/>
            <w:vAlign w:val="bottom"/>
            <w:hideMark/>
          </w:tcPr>
          <w:p w14:paraId="2D2448D2"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57,645 </w:t>
            </w:r>
          </w:p>
        </w:tc>
        <w:tc>
          <w:tcPr>
            <w:tcW w:w="469" w:type="pct"/>
            <w:tcBorders>
              <w:top w:val="nil"/>
              <w:left w:val="nil"/>
              <w:bottom w:val="nil"/>
              <w:right w:val="nil"/>
            </w:tcBorders>
            <w:shd w:val="clear" w:color="auto" w:fill="auto"/>
            <w:noWrap/>
            <w:vAlign w:val="bottom"/>
            <w:hideMark/>
          </w:tcPr>
          <w:p w14:paraId="640A5F14"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44%</w:t>
            </w:r>
          </w:p>
        </w:tc>
        <w:tc>
          <w:tcPr>
            <w:tcW w:w="467" w:type="pct"/>
            <w:tcBorders>
              <w:top w:val="nil"/>
              <w:left w:val="nil"/>
              <w:bottom w:val="nil"/>
              <w:right w:val="nil"/>
            </w:tcBorders>
            <w:shd w:val="clear" w:color="auto" w:fill="auto"/>
            <w:noWrap/>
            <w:vAlign w:val="bottom"/>
            <w:hideMark/>
          </w:tcPr>
          <w:p w14:paraId="7CEE645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106%</w:t>
            </w:r>
          </w:p>
        </w:tc>
        <w:tc>
          <w:tcPr>
            <w:tcW w:w="469" w:type="pct"/>
            <w:tcBorders>
              <w:top w:val="nil"/>
              <w:left w:val="nil"/>
              <w:bottom w:val="nil"/>
              <w:right w:val="nil"/>
            </w:tcBorders>
            <w:shd w:val="clear" w:color="auto" w:fill="auto"/>
            <w:noWrap/>
            <w:vAlign w:val="bottom"/>
            <w:hideMark/>
          </w:tcPr>
          <w:p w14:paraId="608C7B4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109%</w:t>
            </w:r>
          </w:p>
        </w:tc>
      </w:tr>
      <w:tr w:rsidR="002D4830" w:rsidRPr="002D4830" w14:paraId="7A2F5208" w14:textId="77777777" w:rsidTr="002D4830">
        <w:trPr>
          <w:trHeight w:val="280"/>
        </w:trPr>
        <w:tc>
          <w:tcPr>
            <w:tcW w:w="265" w:type="pct"/>
            <w:tcBorders>
              <w:top w:val="nil"/>
              <w:left w:val="nil"/>
              <w:bottom w:val="nil"/>
              <w:right w:val="nil"/>
            </w:tcBorders>
            <w:shd w:val="clear" w:color="auto" w:fill="auto"/>
            <w:noWrap/>
            <w:vAlign w:val="bottom"/>
            <w:hideMark/>
          </w:tcPr>
          <w:p w14:paraId="17D5966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w:t>
            </w:r>
          </w:p>
        </w:tc>
        <w:tc>
          <w:tcPr>
            <w:tcW w:w="992" w:type="pct"/>
            <w:tcBorders>
              <w:top w:val="nil"/>
              <w:left w:val="nil"/>
              <w:bottom w:val="nil"/>
              <w:right w:val="nil"/>
            </w:tcBorders>
            <w:shd w:val="clear" w:color="auto" w:fill="auto"/>
            <w:noWrap/>
            <w:vAlign w:val="bottom"/>
            <w:hideMark/>
          </w:tcPr>
          <w:p w14:paraId="77F8E854"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Property tax</w:t>
            </w:r>
          </w:p>
        </w:tc>
        <w:tc>
          <w:tcPr>
            <w:tcW w:w="467" w:type="pct"/>
            <w:tcBorders>
              <w:top w:val="nil"/>
              <w:left w:val="nil"/>
              <w:bottom w:val="nil"/>
              <w:right w:val="nil"/>
            </w:tcBorders>
            <w:shd w:val="clear" w:color="auto" w:fill="auto"/>
            <w:noWrap/>
            <w:vAlign w:val="bottom"/>
            <w:hideMark/>
          </w:tcPr>
          <w:p w14:paraId="22F5CDB6"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13,000 </w:t>
            </w:r>
          </w:p>
        </w:tc>
        <w:tc>
          <w:tcPr>
            <w:tcW w:w="467" w:type="pct"/>
            <w:tcBorders>
              <w:top w:val="nil"/>
              <w:left w:val="nil"/>
              <w:bottom w:val="nil"/>
              <w:right w:val="nil"/>
            </w:tcBorders>
            <w:shd w:val="clear" w:color="auto" w:fill="auto"/>
            <w:noWrap/>
            <w:vAlign w:val="bottom"/>
            <w:hideMark/>
          </w:tcPr>
          <w:p w14:paraId="4AE187D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6,844 </w:t>
            </w:r>
          </w:p>
        </w:tc>
        <w:tc>
          <w:tcPr>
            <w:tcW w:w="469" w:type="pct"/>
            <w:tcBorders>
              <w:top w:val="nil"/>
              <w:left w:val="nil"/>
              <w:bottom w:val="nil"/>
              <w:right w:val="nil"/>
            </w:tcBorders>
            <w:shd w:val="clear" w:color="auto" w:fill="auto"/>
            <w:noWrap/>
            <w:vAlign w:val="bottom"/>
            <w:hideMark/>
          </w:tcPr>
          <w:p w14:paraId="49265E29"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53%</w:t>
            </w:r>
          </w:p>
        </w:tc>
        <w:tc>
          <w:tcPr>
            <w:tcW w:w="467" w:type="pct"/>
            <w:tcBorders>
              <w:top w:val="nil"/>
              <w:left w:val="nil"/>
              <w:bottom w:val="nil"/>
              <w:right w:val="nil"/>
            </w:tcBorders>
            <w:shd w:val="clear" w:color="auto" w:fill="auto"/>
            <w:noWrap/>
            <w:vAlign w:val="bottom"/>
            <w:hideMark/>
          </w:tcPr>
          <w:p w14:paraId="5FF7372A"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15,000 </w:t>
            </w:r>
          </w:p>
        </w:tc>
        <w:tc>
          <w:tcPr>
            <w:tcW w:w="467" w:type="pct"/>
            <w:tcBorders>
              <w:top w:val="nil"/>
              <w:left w:val="nil"/>
              <w:bottom w:val="nil"/>
              <w:right w:val="nil"/>
            </w:tcBorders>
            <w:shd w:val="clear" w:color="auto" w:fill="auto"/>
            <w:noWrap/>
            <w:vAlign w:val="bottom"/>
            <w:hideMark/>
          </w:tcPr>
          <w:p w14:paraId="2A0C322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5,974 </w:t>
            </w:r>
          </w:p>
        </w:tc>
        <w:tc>
          <w:tcPr>
            <w:tcW w:w="469" w:type="pct"/>
            <w:tcBorders>
              <w:top w:val="nil"/>
              <w:left w:val="nil"/>
              <w:bottom w:val="nil"/>
              <w:right w:val="nil"/>
            </w:tcBorders>
            <w:shd w:val="clear" w:color="auto" w:fill="auto"/>
            <w:noWrap/>
            <w:vAlign w:val="bottom"/>
            <w:hideMark/>
          </w:tcPr>
          <w:p w14:paraId="30ECF196"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40%</w:t>
            </w:r>
          </w:p>
        </w:tc>
        <w:tc>
          <w:tcPr>
            <w:tcW w:w="467" w:type="pct"/>
            <w:tcBorders>
              <w:top w:val="nil"/>
              <w:left w:val="nil"/>
              <w:bottom w:val="nil"/>
              <w:right w:val="nil"/>
            </w:tcBorders>
            <w:shd w:val="clear" w:color="auto" w:fill="auto"/>
            <w:noWrap/>
            <w:vAlign w:val="bottom"/>
            <w:hideMark/>
          </w:tcPr>
          <w:p w14:paraId="0CFCE52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115%</w:t>
            </w:r>
          </w:p>
        </w:tc>
        <w:tc>
          <w:tcPr>
            <w:tcW w:w="469" w:type="pct"/>
            <w:tcBorders>
              <w:top w:val="nil"/>
              <w:left w:val="nil"/>
              <w:bottom w:val="nil"/>
              <w:right w:val="nil"/>
            </w:tcBorders>
            <w:shd w:val="clear" w:color="auto" w:fill="auto"/>
            <w:noWrap/>
            <w:vAlign w:val="bottom"/>
            <w:hideMark/>
          </w:tcPr>
          <w:p w14:paraId="5CEFE4F4"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87%</w:t>
            </w:r>
          </w:p>
        </w:tc>
      </w:tr>
      <w:tr w:rsidR="002D4830" w:rsidRPr="002D4830" w14:paraId="01E9E0D2" w14:textId="77777777" w:rsidTr="002D4830">
        <w:trPr>
          <w:trHeight w:val="280"/>
        </w:trPr>
        <w:tc>
          <w:tcPr>
            <w:tcW w:w="265" w:type="pct"/>
            <w:tcBorders>
              <w:top w:val="nil"/>
              <w:left w:val="nil"/>
              <w:bottom w:val="nil"/>
              <w:right w:val="nil"/>
            </w:tcBorders>
            <w:shd w:val="clear" w:color="auto" w:fill="auto"/>
            <w:noWrap/>
            <w:vAlign w:val="bottom"/>
            <w:hideMark/>
          </w:tcPr>
          <w:p w14:paraId="046B049B"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1.1</w:t>
            </w:r>
          </w:p>
        </w:tc>
        <w:tc>
          <w:tcPr>
            <w:tcW w:w="992" w:type="pct"/>
            <w:tcBorders>
              <w:top w:val="nil"/>
              <w:left w:val="nil"/>
              <w:bottom w:val="nil"/>
              <w:right w:val="nil"/>
            </w:tcBorders>
            <w:shd w:val="clear" w:color="auto" w:fill="auto"/>
            <w:noWrap/>
            <w:vAlign w:val="bottom"/>
            <w:hideMark/>
          </w:tcPr>
          <w:p w14:paraId="189C5FFD"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On business</w:t>
            </w:r>
          </w:p>
        </w:tc>
        <w:tc>
          <w:tcPr>
            <w:tcW w:w="467" w:type="pct"/>
            <w:tcBorders>
              <w:top w:val="nil"/>
              <w:left w:val="nil"/>
              <w:bottom w:val="nil"/>
              <w:right w:val="nil"/>
            </w:tcBorders>
            <w:shd w:val="clear" w:color="auto" w:fill="auto"/>
            <w:noWrap/>
            <w:vAlign w:val="bottom"/>
            <w:hideMark/>
          </w:tcPr>
          <w:p w14:paraId="421B30C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5,822 </w:t>
            </w:r>
          </w:p>
        </w:tc>
        <w:tc>
          <w:tcPr>
            <w:tcW w:w="467" w:type="pct"/>
            <w:tcBorders>
              <w:top w:val="nil"/>
              <w:left w:val="nil"/>
              <w:bottom w:val="nil"/>
              <w:right w:val="nil"/>
            </w:tcBorders>
            <w:shd w:val="clear" w:color="auto" w:fill="auto"/>
            <w:noWrap/>
            <w:vAlign w:val="bottom"/>
            <w:hideMark/>
          </w:tcPr>
          <w:p w14:paraId="282BCB5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5,672 </w:t>
            </w:r>
          </w:p>
        </w:tc>
        <w:tc>
          <w:tcPr>
            <w:tcW w:w="469" w:type="pct"/>
            <w:tcBorders>
              <w:top w:val="nil"/>
              <w:left w:val="nil"/>
              <w:bottom w:val="nil"/>
              <w:right w:val="nil"/>
            </w:tcBorders>
            <w:shd w:val="clear" w:color="auto" w:fill="auto"/>
            <w:noWrap/>
            <w:vAlign w:val="bottom"/>
            <w:hideMark/>
          </w:tcPr>
          <w:p w14:paraId="3323A7A9"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97%</w:t>
            </w:r>
          </w:p>
        </w:tc>
        <w:tc>
          <w:tcPr>
            <w:tcW w:w="467" w:type="pct"/>
            <w:tcBorders>
              <w:top w:val="nil"/>
              <w:left w:val="nil"/>
              <w:bottom w:val="nil"/>
              <w:right w:val="nil"/>
            </w:tcBorders>
            <w:shd w:val="clear" w:color="auto" w:fill="auto"/>
            <w:noWrap/>
            <w:vAlign w:val="bottom"/>
            <w:hideMark/>
          </w:tcPr>
          <w:p w14:paraId="79E3D1F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6,500 </w:t>
            </w:r>
          </w:p>
        </w:tc>
        <w:tc>
          <w:tcPr>
            <w:tcW w:w="467" w:type="pct"/>
            <w:tcBorders>
              <w:top w:val="nil"/>
              <w:left w:val="nil"/>
              <w:bottom w:val="nil"/>
              <w:right w:val="nil"/>
            </w:tcBorders>
            <w:shd w:val="clear" w:color="auto" w:fill="auto"/>
            <w:noWrap/>
            <w:vAlign w:val="bottom"/>
            <w:hideMark/>
          </w:tcPr>
          <w:p w14:paraId="33F9D255"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5,807 </w:t>
            </w:r>
          </w:p>
        </w:tc>
        <w:tc>
          <w:tcPr>
            <w:tcW w:w="469" w:type="pct"/>
            <w:tcBorders>
              <w:top w:val="nil"/>
              <w:left w:val="nil"/>
              <w:bottom w:val="nil"/>
              <w:right w:val="nil"/>
            </w:tcBorders>
            <w:shd w:val="clear" w:color="auto" w:fill="auto"/>
            <w:noWrap/>
            <w:vAlign w:val="bottom"/>
            <w:hideMark/>
          </w:tcPr>
          <w:p w14:paraId="1206E152"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89%</w:t>
            </w:r>
          </w:p>
        </w:tc>
        <w:tc>
          <w:tcPr>
            <w:tcW w:w="467" w:type="pct"/>
            <w:tcBorders>
              <w:top w:val="nil"/>
              <w:left w:val="nil"/>
              <w:bottom w:val="nil"/>
              <w:right w:val="nil"/>
            </w:tcBorders>
            <w:shd w:val="clear" w:color="auto" w:fill="auto"/>
            <w:noWrap/>
            <w:vAlign w:val="bottom"/>
            <w:hideMark/>
          </w:tcPr>
          <w:p w14:paraId="2CFEC37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112%</w:t>
            </w:r>
          </w:p>
        </w:tc>
        <w:tc>
          <w:tcPr>
            <w:tcW w:w="469" w:type="pct"/>
            <w:tcBorders>
              <w:top w:val="nil"/>
              <w:left w:val="nil"/>
              <w:bottom w:val="nil"/>
              <w:right w:val="nil"/>
            </w:tcBorders>
            <w:shd w:val="clear" w:color="auto" w:fill="auto"/>
            <w:noWrap/>
            <w:vAlign w:val="bottom"/>
            <w:hideMark/>
          </w:tcPr>
          <w:p w14:paraId="449E247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102%</w:t>
            </w:r>
          </w:p>
        </w:tc>
      </w:tr>
      <w:tr w:rsidR="002D4830" w:rsidRPr="002D4830" w14:paraId="048283CB" w14:textId="77777777" w:rsidTr="002D4830">
        <w:trPr>
          <w:trHeight w:val="280"/>
        </w:trPr>
        <w:tc>
          <w:tcPr>
            <w:tcW w:w="265" w:type="pct"/>
            <w:tcBorders>
              <w:top w:val="nil"/>
              <w:left w:val="nil"/>
              <w:bottom w:val="nil"/>
              <w:right w:val="nil"/>
            </w:tcBorders>
            <w:shd w:val="clear" w:color="auto" w:fill="auto"/>
            <w:noWrap/>
            <w:vAlign w:val="bottom"/>
            <w:hideMark/>
          </w:tcPr>
          <w:p w14:paraId="046287D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1.2</w:t>
            </w:r>
          </w:p>
        </w:tc>
        <w:tc>
          <w:tcPr>
            <w:tcW w:w="992" w:type="pct"/>
            <w:tcBorders>
              <w:top w:val="nil"/>
              <w:left w:val="nil"/>
              <w:bottom w:val="nil"/>
              <w:right w:val="nil"/>
            </w:tcBorders>
            <w:shd w:val="clear" w:color="auto" w:fill="auto"/>
            <w:noWrap/>
            <w:vAlign w:val="bottom"/>
            <w:hideMark/>
          </w:tcPr>
          <w:p w14:paraId="5303369A"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On households</w:t>
            </w:r>
          </w:p>
        </w:tc>
        <w:tc>
          <w:tcPr>
            <w:tcW w:w="467" w:type="pct"/>
            <w:tcBorders>
              <w:top w:val="nil"/>
              <w:left w:val="nil"/>
              <w:bottom w:val="nil"/>
              <w:right w:val="nil"/>
            </w:tcBorders>
            <w:shd w:val="clear" w:color="auto" w:fill="auto"/>
            <w:noWrap/>
            <w:vAlign w:val="bottom"/>
            <w:hideMark/>
          </w:tcPr>
          <w:p w14:paraId="3D529272"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7,178 </w:t>
            </w:r>
          </w:p>
        </w:tc>
        <w:tc>
          <w:tcPr>
            <w:tcW w:w="467" w:type="pct"/>
            <w:tcBorders>
              <w:top w:val="nil"/>
              <w:left w:val="nil"/>
              <w:bottom w:val="nil"/>
              <w:right w:val="nil"/>
            </w:tcBorders>
            <w:shd w:val="clear" w:color="auto" w:fill="auto"/>
            <w:noWrap/>
            <w:vAlign w:val="bottom"/>
            <w:hideMark/>
          </w:tcPr>
          <w:p w14:paraId="23C8E82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1,172 </w:t>
            </w:r>
          </w:p>
        </w:tc>
        <w:tc>
          <w:tcPr>
            <w:tcW w:w="469" w:type="pct"/>
            <w:tcBorders>
              <w:top w:val="nil"/>
              <w:left w:val="nil"/>
              <w:bottom w:val="nil"/>
              <w:right w:val="nil"/>
            </w:tcBorders>
            <w:shd w:val="clear" w:color="auto" w:fill="auto"/>
            <w:noWrap/>
            <w:vAlign w:val="bottom"/>
            <w:hideMark/>
          </w:tcPr>
          <w:p w14:paraId="6D7FA1C5"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16%</w:t>
            </w:r>
          </w:p>
        </w:tc>
        <w:tc>
          <w:tcPr>
            <w:tcW w:w="467" w:type="pct"/>
            <w:tcBorders>
              <w:top w:val="nil"/>
              <w:left w:val="nil"/>
              <w:bottom w:val="nil"/>
              <w:right w:val="nil"/>
            </w:tcBorders>
            <w:shd w:val="clear" w:color="auto" w:fill="auto"/>
            <w:noWrap/>
            <w:vAlign w:val="bottom"/>
            <w:hideMark/>
          </w:tcPr>
          <w:p w14:paraId="546DEED6"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8,500 </w:t>
            </w:r>
          </w:p>
        </w:tc>
        <w:tc>
          <w:tcPr>
            <w:tcW w:w="467" w:type="pct"/>
            <w:tcBorders>
              <w:top w:val="nil"/>
              <w:left w:val="nil"/>
              <w:bottom w:val="nil"/>
              <w:right w:val="nil"/>
            </w:tcBorders>
            <w:shd w:val="clear" w:color="auto" w:fill="auto"/>
            <w:noWrap/>
            <w:vAlign w:val="bottom"/>
            <w:hideMark/>
          </w:tcPr>
          <w:p w14:paraId="187073B7"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167 </w:t>
            </w:r>
          </w:p>
        </w:tc>
        <w:tc>
          <w:tcPr>
            <w:tcW w:w="469" w:type="pct"/>
            <w:tcBorders>
              <w:top w:val="nil"/>
              <w:left w:val="nil"/>
              <w:bottom w:val="nil"/>
              <w:right w:val="nil"/>
            </w:tcBorders>
            <w:shd w:val="clear" w:color="auto" w:fill="auto"/>
            <w:noWrap/>
            <w:vAlign w:val="bottom"/>
            <w:hideMark/>
          </w:tcPr>
          <w:p w14:paraId="2D14038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2%</w:t>
            </w:r>
          </w:p>
        </w:tc>
        <w:tc>
          <w:tcPr>
            <w:tcW w:w="467" w:type="pct"/>
            <w:tcBorders>
              <w:top w:val="nil"/>
              <w:left w:val="nil"/>
              <w:bottom w:val="nil"/>
              <w:right w:val="nil"/>
            </w:tcBorders>
            <w:shd w:val="clear" w:color="auto" w:fill="auto"/>
            <w:noWrap/>
            <w:vAlign w:val="bottom"/>
            <w:hideMark/>
          </w:tcPr>
          <w:p w14:paraId="73D74566"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118%</w:t>
            </w:r>
          </w:p>
        </w:tc>
        <w:tc>
          <w:tcPr>
            <w:tcW w:w="469" w:type="pct"/>
            <w:tcBorders>
              <w:top w:val="nil"/>
              <w:left w:val="nil"/>
              <w:bottom w:val="nil"/>
              <w:right w:val="nil"/>
            </w:tcBorders>
            <w:shd w:val="clear" w:color="auto" w:fill="auto"/>
            <w:noWrap/>
            <w:vAlign w:val="bottom"/>
            <w:hideMark/>
          </w:tcPr>
          <w:p w14:paraId="248E5C95"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14%</w:t>
            </w:r>
          </w:p>
        </w:tc>
      </w:tr>
      <w:tr w:rsidR="002D4830" w:rsidRPr="002D4830" w14:paraId="464B65B4" w14:textId="77777777" w:rsidTr="002D4830">
        <w:trPr>
          <w:trHeight w:val="280"/>
        </w:trPr>
        <w:tc>
          <w:tcPr>
            <w:tcW w:w="265" w:type="pct"/>
            <w:tcBorders>
              <w:top w:val="nil"/>
              <w:left w:val="nil"/>
              <w:bottom w:val="nil"/>
              <w:right w:val="nil"/>
            </w:tcBorders>
            <w:shd w:val="clear" w:color="auto" w:fill="auto"/>
            <w:noWrap/>
            <w:vAlign w:val="bottom"/>
            <w:hideMark/>
          </w:tcPr>
          <w:p w14:paraId="1E06B70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2</w:t>
            </w:r>
          </w:p>
        </w:tc>
        <w:tc>
          <w:tcPr>
            <w:tcW w:w="992" w:type="pct"/>
            <w:tcBorders>
              <w:top w:val="nil"/>
              <w:left w:val="nil"/>
              <w:bottom w:val="nil"/>
              <w:right w:val="nil"/>
            </w:tcBorders>
            <w:shd w:val="clear" w:color="auto" w:fill="auto"/>
            <w:noWrap/>
            <w:vAlign w:val="bottom"/>
            <w:hideMark/>
          </w:tcPr>
          <w:p w14:paraId="02A918F6"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Small business tax</w:t>
            </w:r>
          </w:p>
        </w:tc>
        <w:tc>
          <w:tcPr>
            <w:tcW w:w="467" w:type="pct"/>
            <w:tcBorders>
              <w:top w:val="nil"/>
              <w:left w:val="nil"/>
              <w:bottom w:val="nil"/>
              <w:right w:val="nil"/>
            </w:tcBorders>
            <w:shd w:val="clear" w:color="auto" w:fill="auto"/>
            <w:noWrap/>
            <w:vAlign w:val="bottom"/>
            <w:hideMark/>
          </w:tcPr>
          <w:p w14:paraId="2C2F416D"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30,521 </w:t>
            </w:r>
          </w:p>
        </w:tc>
        <w:tc>
          <w:tcPr>
            <w:tcW w:w="467" w:type="pct"/>
            <w:tcBorders>
              <w:top w:val="nil"/>
              <w:left w:val="nil"/>
              <w:bottom w:val="nil"/>
              <w:right w:val="nil"/>
            </w:tcBorders>
            <w:shd w:val="clear" w:color="auto" w:fill="auto"/>
            <w:noWrap/>
            <w:vAlign w:val="bottom"/>
            <w:hideMark/>
          </w:tcPr>
          <w:p w14:paraId="2BEDC4F3"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18,199 </w:t>
            </w:r>
          </w:p>
        </w:tc>
        <w:tc>
          <w:tcPr>
            <w:tcW w:w="469" w:type="pct"/>
            <w:tcBorders>
              <w:top w:val="nil"/>
              <w:left w:val="nil"/>
              <w:bottom w:val="nil"/>
              <w:right w:val="nil"/>
            </w:tcBorders>
            <w:shd w:val="clear" w:color="auto" w:fill="auto"/>
            <w:noWrap/>
            <w:vAlign w:val="bottom"/>
            <w:hideMark/>
          </w:tcPr>
          <w:p w14:paraId="5BA95A4B"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60%</w:t>
            </w:r>
          </w:p>
        </w:tc>
        <w:tc>
          <w:tcPr>
            <w:tcW w:w="467" w:type="pct"/>
            <w:tcBorders>
              <w:top w:val="nil"/>
              <w:left w:val="nil"/>
              <w:bottom w:val="nil"/>
              <w:right w:val="nil"/>
            </w:tcBorders>
            <w:shd w:val="clear" w:color="auto" w:fill="auto"/>
            <w:noWrap/>
            <w:vAlign w:val="bottom"/>
            <w:hideMark/>
          </w:tcPr>
          <w:p w14:paraId="0AF9DC0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30,500 </w:t>
            </w:r>
          </w:p>
        </w:tc>
        <w:tc>
          <w:tcPr>
            <w:tcW w:w="467" w:type="pct"/>
            <w:tcBorders>
              <w:top w:val="nil"/>
              <w:left w:val="nil"/>
              <w:bottom w:val="nil"/>
              <w:right w:val="nil"/>
            </w:tcBorders>
            <w:shd w:val="clear" w:color="auto" w:fill="auto"/>
            <w:noWrap/>
            <w:vAlign w:val="bottom"/>
            <w:hideMark/>
          </w:tcPr>
          <w:p w14:paraId="2E7B61F2"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17,174 </w:t>
            </w:r>
          </w:p>
        </w:tc>
        <w:tc>
          <w:tcPr>
            <w:tcW w:w="469" w:type="pct"/>
            <w:tcBorders>
              <w:top w:val="nil"/>
              <w:left w:val="nil"/>
              <w:bottom w:val="nil"/>
              <w:right w:val="nil"/>
            </w:tcBorders>
            <w:shd w:val="clear" w:color="auto" w:fill="auto"/>
            <w:noWrap/>
            <w:vAlign w:val="bottom"/>
            <w:hideMark/>
          </w:tcPr>
          <w:p w14:paraId="4E69537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56%</w:t>
            </w:r>
          </w:p>
        </w:tc>
        <w:tc>
          <w:tcPr>
            <w:tcW w:w="467" w:type="pct"/>
            <w:tcBorders>
              <w:top w:val="nil"/>
              <w:left w:val="nil"/>
              <w:bottom w:val="nil"/>
              <w:right w:val="nil"/>
            </w:tcBorders>
            <w:shd w:val="clear" w:color="auto" w:fill="auto"/>
            <w:noWrap/>
            <w:vAlign w:val="bottom"/>
            <w:hideMark/>
          </w:tcPr>
          <w:p w14:paraId="39B49C55"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100%</w:t>
            </w:r>
          </w:p>
        </w:tc>
        <w:tc>
          <w:tcPr>
            <w:tcW w:w="469" w:type="pct"/>
            <w:tcBorders>
              <w:top w:val="nil"/>
              <w:left w:val="nil"/>
              <w:bottom w:val="nil"/>
              <w:right w:val="nil"/>
            </w:tcBorders>
            <w:shd w:val="clear" w:color="auto" w:fill="auto"/>
            <w:noWrap/>
            <w:vAlign w:val="bottom"/>
            <w:hideMark/>
          </w:tcPr>
          <w:p w14:paraId="60DE2C03"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94%</w:t>
            </w:r>
          </w:p>
        </w:tc>
      </w:tr>
      <w:tr w:rsidR="002D4830" w:rsidRPr="002D4830" w14:paraId="600D2194" w14:textId="77777777" w:rsidTr="002D4830">
        <w:trPr>
          <w:trHeight w:val="280"/>
        </w:trPr>
        <w:tc>
          <w:tcPr>
            <w:tcW w:w="265" w:type="pct"/>
            <w:tcBorders>
              <w:top w:val="nil"/>
              <w:left w:val="nil"/>
              <w:bottom w:val="nil"/>
              <w:right w:val="nil"/>
            </w:tcBorders>
            <w:shd w:val="clear" w:color="auto" w:fill="auto"/>
            <w:noWrap/>
            <w:vAlign w:val="bottom"/>
            <w:hideMark/>
          </w:tcPr>
          <w:p w14:paraId="5589727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3</w:t>
            </w:r>
          </w:p>
        </w:tc>
        <w:tc>
          <w:tcPr>
            <w:tcW w:w="992" w:type="pct"/>
            <w:tcBorders>
              <w:top w:val="nil"/>
              <w:left w:val="nil"/>
              <w:bottom w:val="nil"/>
              <w:right w:val="nil"/>
            </w:tcBorders>
            <w:shd w:val="clear" w:color="auto" w:fill="auto"/>
            <w:noWrap/>
            <w:vAlign w:val="bottom"/>
            <w:hideMark/>
          </w:tcPr>
          <w:p w14:paraId="14F95BC2"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Tax on property transactions</w:t>
            </w:r>
          </w:p>
        </w:tc>
        <w:tc>
          <w:tcPr>
            <w:tcW w:w="467" w:type="pct"/>
            <w:tcBorders>
              <w:top w:val="nil"/>
              <w:left w:val="nil"/>
              <w:bottom w:val="nil"/>
              <w:right w:val="nil"/>
            </w:tcBorders>
            <w:shd w:val="clear" w:color="auto" w:fill="auto"/>
            <w:noWrap/>
            <w:vAlign w:val="bottom"/>
            <w:hideMark/>
          </w:tcPr>
          <w:p w14:paraId="3D41E61D"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6,500 </w:t>
            </w:r>
          </w:p>
        </w:tc>
        <w:tc>
          <w:tcPr>
            <w:tcW w:w="467" w:type="pct"/>
            <w:tcBorders>
              <w:top w:val="nil"/>
              <w:left w:val="nil"/>
              <w:bottom w:val="nil"/>
              <w:right w:val="nil"/>
            </w:tcBorders>
            <w:shd w:val="clear" w:color="auto" w:fill="auto"/>
            <w:noWrap/>
            <w:vAlign w:val="bottom"/>
            <w:hideMark/>
          </w:tcPr>
          <w:p w14:paraId="2425A8B3"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7,605 </w:t>
            </w:r>
          </w:p>
        </w:tc>
        <w:tc>
          <w:tcPr>
            <w:tcW w:w="469" w:type="pct"/>
            <w:tcBorders>
              <w:top w:val="nil"/>
              <w:left w:val="nil"/>
              <w:bottom w:val="nil"/>
              <w:right w:val="nil"/>
            </w:tcBorders>
            <w:shd w:val="clear" w:color="auto" w:fill="auto"/>
            <w:noWrap/>
            <w:vAlign w:val="bottom"/>
            <w:hideMark/>
          </w:tcPr>
          <w:p w14:paraId="53C59D6A"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117%</w:t>
            </w:r>
          </w:p>
        </w:tc>
        <w:tc>
          <w:tcPr>
            <w:tcW w:w="467" w:type="pct"/>
            <w:tcBorders>
              <w:top w:val="nil"/>
              <w:left w:val="nil"/>
              <w:bottom w:val="nil"/>
              <w:right w:val="nil"/>
            </w:tcBorders>
            <w:shd w:val="clear" w:color="auto" w:fill="auto"/>
            <w:noWrap/>
            <w:vAlign w:val="bottom"/>
            <w:hideMark/>
          </w:tcPr>
          <w:p w14:paraId="5F34C2C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10,500 </w:t>
            </w:r>
          </w:p>
        </w:tc>
        <w:tc>
          <w:tcPr>
            <w:tcW w:w="467" w:type="pct"/>
            <w:tcBorders>
              <w:top w:val="nil"/>
              <w:left w:val="nil"/>
              <w:bottom w:val="nil"/>
              <w:right w:val="nil"/>
            </w:tcBorders>
            <w:shd w:val="clear" w:color="auto" w:fill="auto"/>
            <w:noWrap/>
            <w:vAlign w:val="bottom"/>
            <w:hideMark/>
          </w:tcPr>
          <w:p w14:paraId="0621FD6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9,530 </w:t>
            </w:r>
          </w:p>
        </w:tc>
        <w:tc>
          <w:tcPr>
            <w:tcW w:w="469" w:type="pct"/>
            <w:tcBorders>
              <w:top w:val="nil"/>
              <w:left w:val="nil"/>
              <w:bottom w:val="nil"/>
              <w:right w:val="nil"/>
            </w:tcBorders>
            <w:shd w:val="clear" w:color="auto" w:fill="auto"/>
            <w:noWrap/>
            <w:vAlign w:val="bottom"/>
            <w:hideMark/>
          </w:tcPr>
          <w:p w14:paraId="6103247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91%</w:t>
            </w:r>
          </w:p>
        </w:tc>
        <w:tc>
          <w:tcPr>
            <w:tcW w:w="467" w:type="pct"/>
            <w:tcBorders>
              <w:top w:val="nil"/>
              <w:left w:val="nil"/>
              <w:bottom w:val="nil"/>
              <w:right w:val="nil"/>
            </w:tcBorders>
            <w:shd w:val="clear" w:color="auto" w:fill="auto"/>
            <w:noWrap/>
            <w:vAlign w:val="bottom"/>
            <w:hideMark/>
          </w:tcPr>
          <w:p w14:paraId="509AF772"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162%</w:t>
            </w:r>
          </w:p>
        </w:tc>
        <w:tc>
          <w:tcPr>
            <w:tcW w:w="469" w:type="pct"/>
            <w:tcBorders>
              <w:top w:val="nil"/>
              <w:left w:val="nil"/>
              <w:bottom w:val="nil"/>
              <w:right w:val="nil"/>
            </w:tcBorders>
            <w:shd w:val="clear" w:color="auto" w:fill="auto"/>
            <w:noWrap/>
            <w:vAlign w:val="bottom"/>
            <w:hideMark/>
          </w:tcPr>
          <w:p w14:paraId="6413A0C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125%</w:t>
            </w:r>
          </w:p>
        </w:tc>
      </w:tr>
      <w:tr w:rsidR="002D4830" w:rsidRPr="002D4830" w14:paraId="24FD4B7C" w14:textId="77777777" w:rsidTr="002D4830">
        <w:trPr>
          <w:trHeight w:val="280"/>
        </w:trPr>
        <w:tc>
          <w:tcPr>
            <w:tcW w:w="265" w:type="pct"/>
            <w:tcBorders>
              <w:top w:val="nil"/>
              <w:left w:val="nil"/>
              <w:bottom w:val="nil"/>
              <w:right w:val="nil"/>
            </w:tcBorders>
            <w:shd w:val="clear" w:color="auto" w:fill="auto"/>
            <w:noWrap/>
            <w:vAlign w:val="bottom"/>
            <w:hideMark/>
          </w:tcPr>
          <w:p w14:paraId="72CE18A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w:t>
            </w:r>
          </w:p>
        </w:tc>
        <w:tc>
          <w:tcPr>
            <w:tcW w:w="992" w:type="pct"/>
            <w:tcBorders>
              <w:top w:val="nil"/>
              <w:left w:val="nil"/>
              <w:bottom w:val="nil"/>
              <w:right w:val="nil"/>
            </w:tcBorders>
            <w:shd w:val="clear" w:color="auto" w:fill="auto"/>
            <w:noWrap/>
            <w:vAlign w:val="bottom"/>
            <w:hideMark/>
          </w:tcPr>
          <w:p w14:paraId="6795DD52"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Infrastructure impact tax</w:t>
            </w:r>
          </w:p>
        </w:tc>
        <w:tc>
          <w:tcPr>
            <w:tcW w:w="467" w:type="pct"/>
            <w:tcBorders>
              <w:top w:val="nil"/>
              <w:left w:val="nil"/>
              <w:bottom w:val="nil"/>
              <w:right w:val="nil"/>
            </w:tcBorders>
            <w:shd w:val="clear" w:color="auto" w:fill="auto"/>
            <w:noWrap/>
            <w:vAlign w:val="bottom"/>
            <w:hideMark/>
          </w:tcPr>
          <w:p w14:paraId="7B58746B"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69,000 </w:t>
            </w:r>
          </w:p>
        </w:tc>
        <w:tc>
          <w:tcPr>
            <w:tcW w:w="467" w:type="pct"/>
            <w:tcBorders>
              <w:top w:val="nil"/>
              <w:left w:val="nil"/>
              <w:bottom w:val="nil"/>
              <w:right w:val="nil"/>
            </w:tcBorders>
            <w:shd w:val="clear" w:color="auto" w:fill="auto"/>
            <w:noWrap/>
            <w:vAlign w:val="bottom"/>
            <w:hideMark/>
          </w:tcPr>
          <w:p w14:paraId="0B7720B7"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18,505 </w:t>
            </w:r>
          </w:p>
        </w:tc>
        <w:tc>
          <w:tcPr>
            <w:tcW w:w="469" w:type="pct"/>
            <w:tcBorders>
              <w:top w:val="nil"/>
              <w:left w:val="nil"/>
              <w:bottom w:val="nil"/>
              <w:right w:val="nil"/>
            </w:tcBorders>
            <w:shd w:val="clear" w:color="auto" w:fill="auto"/>
            <w:noWrap/>
            <w:vAlign w:val="bottom"/>
            <w:hideMark/>
          </w:tcPr>
          <w:p w14:paraId="742EB90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27%</w:t>
            </w:r>
          </w:p>
        </w:tc>
        <w:tc>
          <w:tcPr>
            <w:tcW w:w="467" w:type="pct"/>
            <w:tcBorders>
              <w:top w:val="nil"/>
              <w:left w:val="nil"/>
              <w:bottom w:val="nil"/>
              <w:right w:val="nil"/>
            </w:tcBorders>
            <w:shd w:val="clear" w:color="auto" w:fill="auto"/>
            <w:noWrap/>
            <w:vAlign w:val="bottom"/>
            <w:hideMark/>
          </w:tcPr>
          <w:p w14:paraId="3F7E7793"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70,000 </w:t>
            </w:r>
          </w:p>
        </w:tc>
        <w:tc>
          <w:tcPr>
            <w:tcW w:w="467" w:type="pct"/>
            <w:tcBorders>
              <w:top w:val="nil"/>
              <w:left w:val="nil"/>
              <w:bottom w:val="nil"/>
              <w:right w:val="nil"/>
            </w:tcBorders>
            <w:shd w:val="clear" w:color="auto" w:fill="auto"/>
            <w:noWrap/>
            <w:vAlign w:val="bottom"/>
            <w:hideMark/>
          </w:tcPr>
          <w:p w14:paraId="71BE177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23,489 </w:t>
            </w:r>
          </w:p>
        </w:tc>
        <w:tc>
          <w:tcPr>
            <w:tcW w:w="469" w:type="pct"/>
            <w:tcBorders>
              <w:top w:val="nil"/>
              <w:left w:val="nil"/>
              <w:bottom w:val="nil"/>
              <w:right w:val="nil"/>
            </w:tcBorders>
            <w:shd w:val="clear" w:color="auto" w:fill="auto"/>
            <w:noWrap/>
            <w:vAlign w:val="bottom"/>
            <w:hideMark/>
          </w:tcPr>
          <w:p w14:paraId="24965079"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34%</w:t>
            </w:r>
          </w:p>
        </w:tc>
        <w:tc>
          <w:tcPr>
            <w:tcW w:w="467" w:type="pct"/>
            <w:tcBorders>
              <w:top w:val="nil"/>
              <w:left w:val="nil"/>
              <w:bottom w:val="nil"/>
              <w:right w:val="nil"/>
            </w:tcBorders>
            <w:shd w:val="clear" w:color="auto" w:fill="auto"/>
            <w:noWrap/>
            <w:vAlign w:val="bottom"/>
            <w:hideMark/>
          </w:tcPr>
          <w:p w14:paraId="359A06B4"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101%</w:t>
            </w:r>
          </w:p>
        </w:tc>
        <w:tc>
          <w:tcPr>
            <w:tcW w:w="469" w:type="pct"/>
            <w:tcBorders>
              <w:top w:val="nil"/>
              <w:left w:val="nil"/>
              <w:bottom w:val="nil"/>
              <w:right w:val="nil"/>
            </w:tcBorders>
            <w:shd w:val="clear" w:color="auto" w:fill="auto"/>
            <w:noWrap/>
            <w:vAlign w:val="bottom"/>
            <w:hideMark/>
          </w:tcPr>
          <w:p w14:paraId="70FFEB93"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127%</w:t>
            </w:r>
          </w:p>
        </w:tc>
      </w:tr>
      <w:tr w:rsidR="002D4830" w:rsidRPr="002D4830" w14:paraId="3FF854E9" w14:textId="77777777" w:rsidTr="002D4830">
        <w:trPr>
          <w:trHeight w:val="280"/>
        </w:trPr>
        <w:tc>
          <w:tcPr>
            <w:tcW w:w="265" w:type="pct"/>
            <w:tcBorders>
              <w:top w:val="nil"/>
              <w:left w:val="nil"/>
              <w:bottom w:val="nil"/>
              <w:right w:val="nil"/>
            </w:tcBorders>
            <w:shd w:val="clear" w:color="auto" w:fill="auto"/>
            <w:noWrap/>
            <w:vAlign w:val="bottom"/>
            <w:hideMark/>
          </w:tcPr>
          <w:p w14:paraId="244588E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5</w:t>
            </w:r>
          </w:p>
        </w:tc>
        <w:tc>
          <w:tcPr>
            <w:tcW w:w="992" w:type="pct"/>
            <w:tcBorders>
              <w:top w:val="nil"/>
              <w:left w:val="nil"/>
              <w:bottom w:val="nil"/>
              <w:right w:val="nil"/>
            </w:tcBorders>
            <w:shd w:val="clear" w:color="auto" w:fill="auto"/>
            <w:noWrap/>
            <w:vAlign w:val="bottom"/>
            <w:hideMark/>
          </w:tcPr>
          <w:p w14:paraId="1AA0AF07" w14:textId="77777777" w:rsidR="00CF251F" w:rsidRPr="002D4830" w:rsidRDefault="00CF251F" w:rsidP="00CF251F">
            <w:pPr>
              <w:spacing w:after="0" w:line="240" w:lineRule="auto"/>
              <w:rPr>
                <w:rFonts w:ascii="Calibri" w:eastAsia="Times New Roman" w:hAnsi="Calibri" w:cs="Times New Roman"/>
                <w:color w:val="000000"/>
                <w:sz w:val="20"/>
                <w:szCs w:val="20"/>
              </w:rPr>
            </w:pPr>
            <w:proofErr w:type="spellStart"/>
            <w:r w:rsidRPr="002D4830">
              <w:rPr>
                <w:rFonts w:ascii="Calibri" w:eastAsia="Times New Roman" w:hAnsi="Calibri" w:cs="Times New Roman"/>
                <w:color w:val="000000"/>
                <w:sz w:val="20"/>
                <w:szCs w:val="20"/>
              </w:rPr>
              <w:t>Publc</w:t>
            </w:r>
            <w:proofErr w:type="spellEnd"/>
            <w:r w:rsidRPr="002D4830">
              <w:rPr>
                <w:rFonts w:ascii="Calibri" w:eastAsia="Times New Roman" w:hAnsi="Calibri" w:cs="Times New Roman"/>
                <w:color w:val="000000"/>
                <w:sz w:val="20"/>
                <w:szCs w:val="20"/>
              </w:rPr>
              <w:t xml:space="preserve"> space tax</w:t>
            </w:r>
          </w:p>
        </w:tc>
        <w:tc>
          <w:tcPr>
            <w:tcW w:w="467" w:type="pct"/>
            <w:tcBorders>
              <w:top w:val="nil"/>
              <w:left w:val="nil"/>
              <w:bottom w:val="nil"/>
              <w:right w:val="nil"/>
            </w:tcBorders>
            <w:shd w:val="clear" w:color="auto" w:fill="auto"/>
            <w:noWrap/>
            <w:vAlign w:val="bottom"/>
            <w:hideMark/>
          </w:tcPr>
          <w:p w14:paraId="2167551E"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489 </w:t>
            </w:r>
          </w:p>
        </w:tc>
        <w:tc>
          <w:tcPr>
            <w:tcW w:w="467" w:type="pct"/>
            <w:tcBorders>
              <w:top w:val="nil"/>
              <w:left w:val="nil"/>
              <w:bottom w:val="nil"/>
              <w:right w:val="nil"/>
            </w:tcBorders>
            <w:shd w:val="clear" w:color="auto" w:fill="auto"/>
            <w:noWrap/>
            <w:vAlign w:val="bottom"/>
            <w:hideMark/>
          </w:tcPr>
          <w:p w14:paraId="143934D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298 </w:t>
            </w:r>
          </w:p>
        </w:tc>
        <w:tc>
          <w:tcPr>
            <w:tcW w:w="469" w:type="pct"/>
            <w:tcBorders>
              <w:top w:val="nil"/>
              <w:left w:val="nil"/>
              <w:bottom w:val="nil"/>
              <w:right w:val="nil"/>
            </w:tcBorders>
            <w:shd w:val="clear" w:color="auto" w:fill="auto"/>
            <w:noWrap/>
            <w:vAlign w:val="bottom"/>
            <w:hideMark/>
          </w:tcPr>
          <w:p w14:paraId="71AE01B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61%</w:t>
            </w:r>
          </w:p>
        </w:tc>
        <w:tc>
          <w:tcPr>
            <w:tcW w:w="467" w:type="pct"/>
            <w:tcBorders>
              <w:top w:val="nil"/>
              <w:left w:val="nil"/>
              <w:bottom w:val="nil"/>
              <w:right w:val="nil"/>
            </w:tcBorders>
            <w:shd w:val="clear" w:color="auto" w:fill="auto"/>
            <w:noWrap/>
            <w:vAlign w:val="bottom"/>
            <w:hideMark/>
          </w:tcPr>
          <w:p w14:paraId="3B85886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500 </w:t>
            </w:r>
          </w:p>
        </w:tc>
        <w:tc>
          <w:tcPr>
            <w:tcW w:w="467" w:type="pct"/>
            <w:tcBorders>
              <w:top w:val="nil"/>
              <w:left w:val="nil"/>
              <w:bottom w:val="nil"/>
              <w:right w:val="nil"/>
            </w:tcBorders>
            <w:shd w:val="clear" w:color="auto" w:fill="auto"/>
            <w:noWrap/>
            <w:vAlign w:val="bottom"/>
            <w:hideMark/>
          </w:tcPr>
          <w:p w14:paraId="0CCDA71D"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108 </w:t>
            </w:r>
          </w:p>
        </w:tc>
        <w:tc>
          <w:tcPr>
            <w:tcW w:w="469" w:type="pct"/>
            <w:tcBorders>
              <w:top w:val="nil"/>
              <w:left w:val="nil"/>
              <w:bottom w:val="nil"/>
              <w:right w:val="nil"/>
            </w:tcBorders>
            <w:shd w:val="clear" w:color="auto" w:fill="auto"/>
            <w:noWrap/>
            <w:vAlign w:val="bottom"/>
            <w:hideMark/>
          </w:tcPr>
          <w:p w14:paraId="4890CE04"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22%</w:t>
            </w:r>
          </w:p>
        </w:tc>
        <w:tc>
          <w:tcPr>
            <w:tcW w:w="467" w:type="pct"/>
            <w:tcBorders>
              <w:top w:val="nil"/>
              <w:left w:val="nil"/>
              <w:bottom w:val="nil"/>
              <w:right w:val="nil"/>
            </w:tcBorders>
            <w:shd w:val="clear" w:color="auto" w:fill="auto"/>
            <w:noWrap/>
            <w:vAlign w:val="bottom"/>
            <w:hideMark/>
          </w:tcPr>
          <w:p w14:paraId="763C380E"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102%</w:t>
            </w:r>
          </w:p>
        </w:tc>
        <w:tc>
          <w:tcPr>
            <w:tcW w:w="469" w:type="pct"/>
            <w:tcBorders>
              <w:top w:val="nil"/>
              <w:left w:val="nil"/>
              <w:bottom w:val="nil"/>
              <w:right w:val="nil"/>
            </w:tcBorders>
            <w:shd w:val="clear" w:color="auto" w:fill="auto"/>
            <w:noWrap/>
            <w:vAlign w:val="bottom"/>
            <w:hideMark/>
          </w:tcPr>
          <w:p w14:paraId="7F3F71A9"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36%</w:t>
            </w:r>
          </w:p>
        </w:tc>
      </w:tr>
      <w:tr w:rsidR="002D4830" w:rsidRPr="002D4830" w14:paraId="2079A2E3" w14:textId="77777777" w:rsidTr="002D4830">
        <w:trPr>
          <w:trHeight w:val="280"/>
        </w:trPr>
        <w:tc>
          <w:tcPr>
            <w:tcW w:w="265" w:type="pct"/>
            <w:tcBorders>
              <w:top w:val="nil"/>
              <w:left w:val="nil"/>
              <w:bottom w:val="nil"/>
              <w:right w:val="nil"/>
            </w:tcBorders>
            <w:shd w:val="clear" w:color="auto" w:fill="auto"/>
            <w:noWrap/>
            <w:vAlign w:val="bottom"/>
            <w:hideMark/>
          </w:tcPr>
          <w:p w14:paraId="34DE338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6</w:t>
            </w:r>
          </w:p>
        </w:tc>
        <w:tc>
          <w:tcPr>
            <w:tcW w:w="992" w:type="pct"/>
            <w:tcBorders>
              <w:top w:val="nil"/>
              <w:left w:val="nil"/>
              <w:bottom w:val="nil"/>
              <w:right w:val="nil"/>
            </w:tcBorders>
            <w:shd w:val="clear" w:color="auto" w:fill="auto"/>
            <w:noWrap/>
            <w:vAlign w:val="bottom"/>
            <w:hideMark/>
          </w:tcPr>
          <w:p w14:paraId="4B6AB2EE" w14:textId="77777777" w:rsidR="00CF251F" w:rsidRPr="002D4830" w:rsidRDefault="00CF251F" w:rsidP="00CF251F">
            <w:pPr>
              <w:spacing w:after="0" w:line="240" w:lineRule="auto"/>
              <w:rPr>
                <w:rFonts w:ascii="Calibri" w:eastAsia="Times New Roman" w:hAnsi="Calibri" w:cs="Times New Roman"/>
                <w:color w:val="000000"/>
                <w:sz w:val="20"/>
                <w:szCs w:val="20"/>
              </w:rPr>
            </w:pPr>
            <w:proofErr w:type="spellStart"/>
            <w:proofErr w:type="gramStart"/>
            <w:r w:rsidRPr="002D4830">
              <w:rPr>
                <w:rFonts w:ascii="Calibri" w:eastAsia="Times New Roman" w:hAnsi="Calibri" w:cs="Times New Roman"/>
                <w:color w:val="000000"/>
                <w:sz w:val="20"/>
                <w:szCs w:val="20"/>
              </w:rPr>
              <w:t>Takse</w:t>
            </w:r>
            <w:proofErr w:type="spellEnd"/>
            <w:r w:rsidRPr="002D4830">
              <w:rPr>
                <w:rFonts w:ascii="Calibri" w:eastAsia="Times New Roman" w:hAnsi="Calibri" w:cs="Times New Roman"/>
                <w:color w:val="000000"/>
                <w:sz w:val="20"/>
                <w:szCs w:val="20"/>
              </w:rPr>
              <w:t xml:space="preserve">  </w:t>
            </w:r>
            <w:proofErr w:type="spellStart"/>
            <w:r w:rsidRPr="002D4830">
              <w:rPr>
                <w:rFonts w:ascii="Calibri" w:eastAsia="Times New Roman" w:hAnsi="Calibri" w:cs="Times New Roman"/>
                <w:color w:val="000000"/>
                <w:sz w:val="20"/>
                <w:szCs w:val="20"/>
              </w:rPr>
              <w:t>tabele</w:t>
            </w:r>
            <w:proofErr w:type="spellEnd"/>
            <w:proofErr w:type="gramEnd"/>
          </w:p>
        </w:tc>
        <w:tc>
          <w:tcPr>
            <w:tcW w:w="467" w:type="pct"/>
            <w:tcBorders>
              <w:top w:val="nil"/>
              <w:left w:val="nil"/>
              <w:bottom w:val="nil"/>
              <w:right w:val="nil"/>
            </w:tcBorders>
            <w:shd w:val="clear" w:color="auto" w:fill="auto"/>
            <w:noWrap/>
            <w:vAlign w:val="bottom"/>
            <w:hideMark/>
          </w:tcPr>
          <w:p w14:paraId="575F30D9"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3,770 </w:t>
            </w:r>
          </w:p>
        </w:tc>
        <w:tc>
          <w:tcPr>
            <w:tcW w:w="467" w:type="pct"/>
            <w:tcBorders>
              <w:top w:val="nil"/>
              <w:left w:val="nil"/>
              <w:bottom w:val="nil"/>
              <w:right w:val="nil"/>
            </w:tcBorders>
            <w:shd w:val="clear" w:color="auto" w:fill="auto"/>
            <w:noWrap/>
            <w:vAlign w:val="bottom"/>
            <w:hideMark/>
          </w:tcPr>
          <w:p w14:paraId="79E1CD3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1,593 </w:t>
            </w:r>
          </w:p>
        </w:tc>
        <w:tc>
          <w:tcPr>
            <w:tcW w:w="469" w:type="pct"/>
            <w:tcBorders>
              <w:top w:val="nil"/>
              <w:left w:val="nil"/>
              <w:bottom w:val="nil"/>
              <w:right w:val="nil"/>
            </w:tcBorders>
            <w:shd w:val="clear" w:color="auto" w:fill="auto"/>
            <w:noWrap/>
            <w:vAlign w:val="bottom"/>
            <w:hideMark/>
          </w:tcPr>
          <w:p w14:paraId="668BD09D"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42%</w:t>
            </w:r>
          </w:p>
        </w:tc>
        <w:tc>
          <w:tcPr>
            <w:tcW w:w="467" w:type="pct"/>
            <w:tcBorders>
              <w:top w:val="nil"/>
              <w:left w:val="nil"/>
              <w:bottom w:val="nil"/>
              <w:right w:val="nil"/>
            </w:tcBorders>
            <w:shd w:val="clear" w:color="auto" w:fill="auto"/>
            <w:noWrap/>
            <w:vAlign w:val="bottom"/>
            <w:hideMark/>
          </w:tcPr>
          <w:p w14:paraId="1CCEF213"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4,656 </w:t>
            </w:r>
          </w:p>
        </w:tc>
        <w:tc>
          <w:tcPr>
            <w:tcW w:w="467" w:type="pct"/>
            <w:tcBorders>
              <w:top w:val="nil"/>
              <w:left w:val="nil"/>
              <w:bottom w:val="nil"/>
              <w:right w:val="nil"/>
            </w:tcBorders>
            <w:shd w:val="clear" w:color="auto" w:fill="auto"/>
            <w:noWrap/>
            <w:vAlign w:val="bottom"/>
            <w:hideMark/>
          </w:tcPr>
          <w:p w14:paraId="4A2990FA"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1,370 </w:t>
            </w:r>
          </w:p>
        </w:tc>
        <w:tc>
          <w:tcPr>
            <w:tcW w:w="469" w:type="pct"/>
            <w:tcBorders>
              <w:top w:val="nil"/>
              <w:left w:val="nil"/>
              <w:bottom w:val="nil"/>
              <w:right w:val="nil"/>
            </w:tcBorders>
            <w:shd w:val="clear" w:color="auto" w:fill="auto"/>
            <w:noWrap/>
            <w:vAlign w:val="bottom"/>
            <w:hideMark/>
          </w:tcPr>
          <w:p w14:paraId="37ABAB0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29%</w:t>
            </w:r>
          </w:p>
        </w:tc>
        <w:tc>
          <w:tcPr>
            <w:tcW w:w="467" w:type="pct"/>
            <w:tcBorders>
              <w:top w:val="nil"/>
              <w:left w:val="nil"/>
              <w:bottom w:val="nil"/>
              <w:right w:val="nil"/>
            </w:tcBorders>
            <w:shd w:val="clear" w:color="auto" w:fill="auto"/>
            <w:noWrap/>
            <w:vAlign w:val="bottom"/>
            <w:hideMark/>
          </w:tcPr>
          <w:p w14:paraId="4FCBF33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124%</w:t>
            </w:r>
          </w:p>
        </w:tc>
        <w:tc>
          <w:tcPr>
            <w:tcW w:w="469" w:type="pct"/>
            <w:tcBorders>
              <w:top w:val="nil"/>
              <w:left w:val="nil"/>
              <w:bottom w:val="nil"/>
              <w:right w:val="nil"/>
            </w:tcBorders>
            <w:shd w:val="clear" w:color="auto" w:fill="auto"/>
            <w:noWrap/>
            <w:vAlign w:val="bottom"/>
            <w:hideMark/>
          </w:tcPr>
          <w:p w14:paraId="5E3E8B7A"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86%</w:t>
            </w:r>
          </w:p>
        </w:tc>
      </w:tr>
      <w:tr w:rsidR="002D4830" w:rsidRPr="002D4830" w14:paraId="36E97B5B" w14:textId="77777777" w:rsidTr="002D4830">
        <w:trPr>
          <w:trHeight w:val="280"/>
        </w:trPr>
        <w:tc>
          <w:tcPr>
            <w:tcW w:w="265" w:type="pct"/>
            <w:tcBorders>
              <w:top w:val="nil"/>
              <w:left w:val="nil"/>
              <w:bottom w:val="nil"/>
              <w:right w:val="nil"/>
            </w:tcBorders>
            <w:shd w:val="clear" w:color="auto" w:fill="auto"/>
            <w:noWrap/>
            <w:vAlign w:val="bottom"/>
            <w:hideMark/>
          </w:tcPr>
          <w:p w14:paraId="756A9097"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II</w:t>
            </w:r>
          </w:p>
        </w:tc>
        <w:tc>
          <w:tcPr>
            <w:tcW w:w="992" w:type="pct"/>
            <w:tcBorders>
              <w:top w:val="nil"/>
              <w:left w:val="nil"/>
              <w:bottom w:val="nil"/>
              <w:right w:val="nil"/>
            </w:tcBorders>
            <w:shd w:val="clear" w:color="auto" w:fill="auto"/>
            <w:noWrap/>
            <w:vAlign w:val="bottom"/>
            <w:hideMark/>
          </w:tcPr>
          <w:p w14:paraId="1439DE8E" w14:textId="77777777" w:rsidR="00CF251F" w:rsidRPr="002D4830" w:rsidRDefault="00CF251F" w:rsidP="00CF251F">
            <w:pPr>
              <w:spacing w:after="0" w:line="240" w:lineRule="auto"/>
              <w:rPr>
                <w:rFonts w:ascii="Calibri" w:eastAsia="Times New Roman" w:hAnsi="Calibri" w:cs="Times New Roman"/>
                <w:color w:val="000000"/>
                <w:sz w:val="20"/>
                <w:szCs w:val="20"/>
              </w:rPr>
            </w:pPr>
            <w:proofErr w:type="spellStart"/>
            <w:proofErr w:type="gramStart"/>
            <w:r w:rsidRPr="002D4830">
              <w:rPr>
                <w:rFonts w:ascii="Calibri" w:eastAsia="Times New Roman" w:hAnsi="Calibri" w:cs="Times New Roman"/>
                <w:color w:val="000000"/>
                <w:sz w:val="20"/>
                <w:szCs w:val="20"/>
              </w:rPr>
              <w:t>Te</w:t>
            </w:r>
            <w:proofErr w:type="spellEnd"/>
            <w:r w:rsidRPr="002D4830">
              <w:rPr>
                <w:rFonts w:ascii="Calibri" w:eastAsia="Times New Roman" w:hAnsi="Calibri" w:cs="Times New Roman"/>
                <w:color w:val="000000"/>
                <w:sz w:val="20"/>
                <w:szCs w:val="20"/>
              </w:rPr>
              <w:t xml:space="preserve">  </w:t>
            </w:r>
            <w:proofErr w:type="spellStart"/>
            <w:r w:rsidRPr="002D4830">
              <w:rPr>
                <w:rFonts w:ascii="Calibri" w:eastAsia="Times New Roman" w:hAnsi="Calibri" w:cs="Times New Roman"/>
                <w:color w:val="000000"/>
                <w:sz w:val="20"/>
                <w:szCs w:val="20"/>
              </w:rPr>
              <w:t>ardhurat</w:t>
            </w:r>
            <w:proofErr w:type="spellEnd"/>
            <w:proofErr w:type="gramEnd"/>
            <w:r w:rsidRPr="002D4830">
              <w:rPr>
                <w:rFonts w:ascii="Calibri" w:eastAsia="Times New Roman" w:hAnsi="Calibri" w:cs="Times New Roman"/>
                <w:color w:val="000000"/>
                <w:sz w:val="20"/>
                <w:szCs w:val="20"/>
              </w:rPr>
              <w:t xml:space="preserve"> </w:t>
            </w:r>
            <w:proofErr w:type="spellStart"/>
            <w:r w:rsidRPr="002D4830">
              <w:rPr>
                <w:rFonts w:ascii="Calibri" w:eastAsia="Times New Roman" w:hAnsi="Calibri" w:cs="Times New Roman"/>
                <w:color w:val="000000"/>
                <w:sz w:val="20"/>
                <w:szCs w:val="20"/>
              </w:rPr>
              <w:t>jotatimore</w:t>
            </w:r>
            <w:proofErr w:type="spellEnd"/>
          </w:p>
        </w:tc>
        <w:tc>
          <w:tcPr>
            <w:tcW w:w="467" w:type="pct"/>
            <w:tcBorders>
              <w:top w:val="nil"/>
              <w:left w:val="nil"/>
              <w:bottom w:val="nil"/>
              <w:right w:val="nil"/>
            </w:tcBorders>
            <w:shd w:val="clear" w:color="auto" w:fill="auto"/>
            <w:noWrap/>
            <w:vAlign w:val="bottom"/>
            <w:hideMark/>
          </w:tcPr>
          <w:p w14:paraId="0B1B9E1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92,273 </w:t>
            </w:r>
          </w:p>
        </w:tc>
        <w:tc>
          <w:tcPr>
            <w:tcW w:w="467" w:type="pct"/>
            <w:tcBorders>
              <w:top w:val="nil"/>
              <w:left w:val="nil"/>
              <w:bottom w:val="nil"/>
              <w:right w:val="nil"/>
            </w:tcBorders>
            <w:shd w:val="clear" w:color="auto" w:fill="auto"/>
            <w:noWrap/>
            <w:vAlign w:val="bottom"/>
            <w:hideMark/>
          </w:tcPr>
          <w:p w14:paraId="3D8BB9A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50,827 </w:t>
            </w:r>
          </w:p>
        </w:tc>
        <w:tc>
          <w:tcPr>
            <w:tcW w:w="469" w:type="pct"/>
            <w:tcBorders>
              <w:top w:val="nil"/>
              <w:left w:val="nil"/>
              <w:bottom w:val="nil"/>
              <w:right w:val="nil"/>
            </w:tcBorders>
            <w:shd w:val="clear" w:color="auto" w:fill="auto"/>
            <w:noWrap/>
            <w:vAlign w:val="bottom"/>
            <w:hideMark/>
          </w:tcPr>
          <w:p w14:paraId="345E46D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55%</w:t>
            </w:r>
          </w:p>
        </w:tc>
        <w:tc>
          <w:tcPr>
            <w:tcW w:w="467" w:type="pct"/>
            <w:tcBorders>
              <w:top w:val="nil"/>
              <w:left w:val="nil"/>
              <w:bottom w:val="nil"/>
              <w:right w:val="nil"/>
            </w:tcBorders>
            <w:shd w:val="clear" w:color="auto" w:fill="auto"/>
            <w:noWrap/>
            <w:vAlign w:val="bottom"/>
            <w:hideMark/>
          </w:tcPr>
          <w:p w14:paraId="1FCF58CE"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92,180 </w:t>
            </w:r>
          </w:p>
        </w:tc>
        <w:tc>
          <w:tcPr>
            <w:tcW w:w="467" w:type="pct"/>
            <w:tcBorders>
              <w:top w:val="nil"/>
              <w:left w:val="nil"/>
              <w:bottom w:val="nil"/>
              <w:right w:val="nil"/>
            </w:tcBorders>
            <w:shd w:val="clear" w:color="auto" w:fill="auto"/>
            <w:noWrap/>
            <w:vAlign w:val="bottom"/>
            <w:hideMark/>
          </w:tcPr>
          <w:p w14:paraId="708E95F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41,406 </w:t>
            </w:r>
          </w:p>
        </w:tc>
        <w:tc>
          <w:tcPr>
            <w:tcW w:w="469" w:type="pct"/>
            <w:tcBorders>
              <w:top w:val="nil"/>
              <w:left w:val="nil"/>
              <w:bottom w:val="nil"/>
              <w:right w:val="nil"/>
            </w:tcBorders>
            <w:shd w:val="clear" w:color="auto" w:fill="auto"/>
            <w:noWrap/>
            <w:vAlign w:val="bottom"/>
            <w:hideMark/>
          </w:tcPr>
          <w:p w14:paraId="291D5C9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45%</w:t>
            </w:r>
          </w:p>
        </w:tc>
        <w:tc>
          <w:tcPr>
            <w:tcW w:w="467" w:type="pct"/>
            <w:tcBorders>
              <w:top w:val="nil"/>
              <w:left w:val="nil"/>
              <w:bottom w:val="nil"/>
              <w:right w:val="nil"/>
            </w:tcBorders>
            <w:shd w:val="clear" w:color="auto" w:fill="auto"/>
            <w:noWrap/>
            <w:vAlign w:val="bottom"/>
            <w:hideMark/>
          </w:tcPr>
          <w:p w14:paraId="6674BCC7"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100%</w:t>
            </w:r>
          </w:p>
        </w:tc>
        <w:tc>
          <w:tcPr>
            <w:tcW w:w="469" w:type="pct"/>
            <w:tcBorders>
              <w:top w:val="nil"/>
              <w:left w:val="nil"/>
              <w:bottom w:val="nil"/>
              <w:right w:val="nil"/>
            </w:tcBorders>
            <w:shd w:val="clear" w:color="auto" w:fill="auto"/>
            <w:noWrap/>
            <w:vAlign w:val="bottom"/>
            <w:hideMark/>
          </w:tcPr>
          <w:p w14:paraId="277B0E8A"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81%</w:t>
            </w:r>
          </w:p>
        </w:tc>
      </w:tr>
      <w:tr w:rsidR="002D4830" w:rsidRPr="002D4830" w14:paraId="215E52C3" w14:textId="77777777" w:rsidTr="002D4830">
        <w:trPr>
          <w:trHeight w:val="280"/>
        </w:trPr>
        <w:tc>
          <w:tcPr>
            <w:tcW w:w="265" w:type="pct"/>
            <w:tcBorders>
              <w:top w:val="nil"/>
              <w:left w:val="nil"/>
              <w:bottom w:val="nil"/>
              <w:right w:val="nil"/>
            </w:tcBorders>
            <w:shd w:val="clear" w:color="auto" w:fill="auto"/>
            <w:noWrap/>
            <w:vAlign w:val="bottom"/>
            <w:hideMark/>
          </w:tcPr>
          <w:p w14:paraId="362E26E1"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A</w:t>
            </w:r>
          </w:p>
        </w:tc>
        <w:tc>
          <w:tcPr>
            <w:tcW w:w="992" w:type="pct"/>
            <w:tcBorders>
              <w:top w:val="nil"/>
              <w:left w:val="nil"/>
              <w:bottom w:val="nil"/>
              <w:right w:val="nil"/>
            </w:tcBorders>
            <w:shd w:val="clear" w:color="auto" w:fill="auto"/>
            <w:noWrap/>
            <w:vAlign w:val="bottom"/>
            <w:hideMark/>
          </w:tcPr>
          <w:p w14:paraId="239650E5"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Fees</w:t>
            </w:r>
          </w:p>
        </w:tc>
        <w:tc>
          <w:tcPr>
            <w:tcW w:w="467" w:type="pct"/>
            <w:tcBorders>
              <w:top w:val="nil"/>
              <w:left w:val="nil"/>
              <w:bottom w:val="nil"/>
              <w:right w:val="nil"/>
            </w:tcBorders>
            <w:shd w:val="clear" w:color="auto" w:fill="auto"/>
            <w:noWrap/>
            <w:vAlign w:val="bottom"/>
            <w:hideMark/>
          </w:tcPr>
          <w:p w14:paraId="58AA1BC9"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22,767 </w:t>
            </w:r>
          </w:p>
        </w:tc>
        <w:tc>
          <w:tcPr>
            <w:tcW w:w="467" w:type="pct"/>
            <w:tcBorders>
              <w:top w:val="nil"/>
              <w:left w:val="nil"/>
              <w:bottom w:val="nil"/>
              <w:right w:val="nil"/>
            </w:tcBorders>
            <w:shd w:val="clear" w:color="auto" w:fill="auto"/>
            <w:noWrap/>
            <w:vAlign w:val="bottom"/>
            <w:hideMark/>
          </w:tcPr>
          <w:p w14:paraId="10F8C983"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12,187 </w:t>
            </w:r>
          </w:p>
        </w:tc>
        <w:tc>
          <w:tcPr>
            <w:tcW w:w="469" w:type="pct"/>
            <w:tcBorders>
              <w:top w:val="nil"/>
              <w:left w:val="nil"/>
              <w:bottom w:val="nil"/>
              <w:right w:val="nil"/>
            </w:tcBorders>
            <w:shd w:val="clear" w:color="auto" w:fill="auto"/>
            <w:noWrap/>
            <w:vAlign w:val="bottom"/>
            <w:hideMark/>
          </w:tcPr>
          <w:p w14:paraId="335751C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54%</w:t>
            </w:r>
          </w:p>
        </w:tc>
        <w:tc>
          <w:tcPr>
            <w:tcW w:w="467" w:type="pct"/>
            <w:tcBorders>
              <w:top w:val="nil"/>
              <w:left w:val="nil"/>
              <w:bottom w:val="nil"/>
              <w:right w:val="nil"/>
            </w:tcBorders>
            <w:shd w:val="clear" w:color="auto" w:fill="auto"/>
            <w:noWrap/>
            <w:vAlign w:val="bottom"/>
            <w:hideMark/>
          </w:tcPr>
          <w:p w14:paraId="37E7FE34"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29,500 </w:t>
            </w:r>
          </w:p>
        </w:tc>
        <w:tc>
          <w:tcPr>
            <w:tcW w:w="467" w:type="pct"/>
            <w:tcBorders>
              <w:top w:val="nil"/>
              <w:left w:val="nil"/>
              <w:bottom w:val="nil"/>
              <w:right w:val="nil"/>
            </w:tcBorders>
            <w:shd w:val="clear" w:color="auto" w:fill="auto"/>
            <w:noWrap/>
            <w:vAlign w:val="bottom"/>
            <w:hideMark/>
          </w:tcPr>
          <w:p w14:paraId="5A0FE75B"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12,239 </w:t>
            </w:r>
          </w:p>
        </w:tc>
        <w:tc>
          <w:tcPr>
            <w:tcW w:w="469" w:type="pct"/>
            <w:tcBorders>
              <w:top w:val="nil"/>
              <w:left w:val="nil"/>
              <w:bottom w:val="nil"/>
              <w:right w:val="nil"/>
            </w:tcBorders>
            <w:shd w:val="clear" w:color="auto" w:fill="auto"/>
            <w:noWrap/>
            <w:vAlign w:val="bottom"/>
            <w:hideMark/>
          </w:tcPr>
          <w:p w14:paraId="2F2B7F6D"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41%</w:t>
            </w:r>
          </w:p>
        </w:tc>
        <w:tc>
          <w:tcPr>
            <w:tcW w:w="467" w:type="pct"/>
            <w:tcBorders>
              <w:top w:val="nil"/>
              <w:left w:val="nil"/>
              <w:bottom w:val="nil"/>
              <w:right w:val="nil"/>
            </w:tcBorders>
            <w:shd w:val="clear" w:color="auto" w:fill="auto"/>
            <w:noWrap/>
            <w:vAlign w:val="bottom"/>
            <w:hideMark/>
          </w:tcPr>
          <w:p w14:paraId="32C44B9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130%</w:t>
            </w:r>
          </w:p>
        </w:tc>
        <w:tc>
          <w:tcPr>
            <w:tcW w:w="469" w:type="pct"/>
            <w:tcBorders>
              <w:top w:val="nil"/>
              <w:left w:val="nil"/>
              <w:bottom w:val="nil"/>
              <w:right w:val="nil"/>
            </w:tcBorders>
            <w:shd w:val="clear" w:color="auto" w:fill="auto"/>
            <w:noWrap/>
            <w:vAlign w:val="bottom"/>
            <w:hideMark/>
          </w:tcPr>
          <w:p w14:paraId="2F95D02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100%</w:t>
            </w:r>
          </w:p>
        </w:tc>
      </w:tr>
      <w:tr w:rsidR="002D4830" w:rsidRPr="002D4830" w14:paraId="22462883" w14:textId="77777777" w:rsidTr="002D4830">
        <w:trPr>
          <w:trHeight w:val="280"/>
        </w:trPr>
        <w:tc>
          <w:tcPr>
            <w:tcW w:w="265" w:type="pct"/>
            <w:tcBorders>
              <w:top w:val="nil"/>
              <w:left w:val="nil"/>
              <w:bottom w:val="nil"/>
              <w:right w:val="nil"/>
            </w:tcBorders>
            <w:shd w:val="clear" w:color="auto" w:fill="auto"/>
            <w:noWrap/>
            <w:vAlign w:val="bottom"/>
            <w:hideMark/>
          </w:tcPr>
          <w:p w14:paraId="3A99D556"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w:t>
            </w:r>
          </w:p>
        </w:tc>
        <w:tc>
          <w:tcPr>
            <w:tcW w:w="992" w:type="pct"/>
            <w:tcBorders>
              <w:top w:val="nil"/>
              <w:left w:val="nil"/>
              <w:bottom w:val="nil"/>
              <w:right w:val="nil"/>
            </w:tcBorders>
            <w:shd w:val="clear" w:color="auto" w:fill="auto"/>
            <w:noWrap/>
            <w:vAlign w:val="bottom"/>
            <w:hideMark/>
          </w:tcPr>
          <w:p w14:paraId="3A9A1D8F"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Cleaning fee</w:t>
            </w:r>
          </w:p>
        </w:tc>
        <w:tc>
          <w:tcPr>
            <w:tcW w:w="467" w:type="pct"/>
            <w:tcBorders>
              <w:top w:val="nil"/>
              <w:left w:val="nil"/>
              <w:bottom w:val="nil"/>
              <w:right w:val="nil"/>
            </w:tcBorders>
            <w:shd w:val="clear" w:color="auto" w:fill="auto"/>
            <w:noWrap/>
            <w:vAlign w:val="bottom"/>
            <w:hideMark/>
          </w:tcPr>
          <w:p w14:paraId="456CBE35"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19,667 </w:t>
            </w:r>
          </w:p>
        </w:tc>
        <w:tc>
          <w:tcPr>
            <w:tcW w:w="467" w:type="pct"/>
            <w:tcBorders>
              <w:top w:val="nil"/>
              <w:left w:val="nil"/>
              <w:bottom w:val="nil"/>
              <w:right w:val="nil"/>
            </w:tcBorders>
            <w:shd w:val="clear" w:color="auto" w:fill="auto"/>
            <w:noWrap/>
            <w:vAlign w:val="bottom"/>
            <w:hideMark/>
          </w:tcPr>
          <w:p w14:paraId="77C9C72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10,503 </w:t>
            </w:r>
          </w:p>
        </w:tc>
        <w:tc>
          <w:tcPr>
            <w:tcW w:w="469" w:type="pct"/>
            <w:tcBorders>
              <w:top w:val="nil"/>
              <w:left w:val="nil"/>
              <w:bottom w:val="nil"/>
              <w:right w:val="nil"/>
            </w:tcBorders>
            <w:shd w:val="clear" w:color="auto" w:fill="auto"/>
            <w:noWrap/>
            <w:vAlign w:val="bottom"/>
            <w:hideMark/>
          </w:tcPr>
          <w:p w14:paraId="12E9089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53%</w:t>
            </w:r>
          </w:p>
        </w:tc>
        <w:tc>
          <w:tcPr>
            <w:tcW w:w="467" w:type="pct"/>
            <w:tcBorders>
              <w:top w:val="nil"/>
              <w:left w:val="nil"/>
              <w:bottom w:val="nil"/>
              <w:right w:val="nil"/>
            </w:tcBorders>
            <w:shd w:val="clear" w:color="auto" w:fill="auto"/>
            <w:noWrap/>
            <w:vAlign w:val="bottom"/>
            <w:hideMark/>
          </w:tcPr>
          <w:p w14:paraId="10FB6D56"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25,000 </w:t>
            </w:r>
          </w:p>
        </w:tc>
        <w:tc>
          <w:tcPr>
            <w:tcW w:w="467" w:type="pct"/>
            <w:tcBorders>
              <w:top w:val="nil"/>
              <w:left w:val="nil"/>
              <w:bottom w:val="nil"/>
              <w:right w:val="nil"/>
            </w:tcBorders>
            <w:shd w:val="clear" w:color="auto" w:fill="auto"/>
            <w:noWrap/>
            <w:vAlign w:val="bottom"/>
            <w:hideMark/>
          </w:tcPr>
          <w:p w14:paraId="189E45F9"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10,423 </w:t>
            </w:r>
          </w:p>
        </w:tc>
        <w:tc>
          <w:tcPr>
            <w:tcW w:w="469" w:type="pct"/>
            <w:tcBorders>
              <w:top w:val="nil"/>
              <w:left w:val="nil"/>
              <w:bottom w:val="nil"/>
              <w:right w:val="nil"/>
            </w:tcBorders>
            <w:shd w:val="clear" w:color="auto" w:fill="auto"/>
            <w:noWrap/>
            <w:vAlign w:val="bottom"/>
            <w:hideMark/>
          </w:tcPr>
          <w:p w14:paraId="0AEF311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42%</w:t>
            </w:r>
          </w:p>
        </w:tc>
        <w:tc>
          <w:tcPr>
            <w:tcW w:w="467" w:type="pct"/>
            <w:tcBorders>
              <w:top w:val="nil"/>
              <w:left w:val="nil"/>
              <w:bottom w:val="nil"/>
              <w:right w:val="nil"/>
            </w:tcBorders>
            <w:shd w:val="clear" w:color="auto" w:fill="auto"/>
            <w:noWrap/>
            <w:vAlign w:val="bottom"/>
            <w:hideMark/>
          </w:tcPr>
          <w:p w14:paraId="153BB5D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127%</w:t>
            </w:r>
          </w:p>
        </w:tc>
        <w:tc>
          <w:tcPr>
            <w:tcW w:w="469" w:type="pct"/>
            <w:tcBorders>
              <w:top w:val="nil"/>
              <w:left w:val="nil"/>
              <w:bottom w:val="nil"/>
              <w:right w:val="nil"/>
            </w:tcBorders>
            <w:shd w:val="clear" w:color="auto" w:fill="auto"/>
            <w:noWrap/>
            <w:vAlign w:val="bottom"/>
            <w:hideMark/>
          </w:tcPr>
          <w:p w14:paraId="2EBCF66B"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99%</w:t>
            </w:r>
          </w:p>
        </w:tc>
      </w:tr>
      <w:tr w:rsidR="002D4830" w:rsidRPr="002D4830" w14:paraId="516811FA" w14:textId="77777777" w:rsidTr="002D4830">
        <w:trPr>
          <w:trHeight w:val="280"/>
        </w:trPr>
        <w:tc>
          <w:tcPr>
            <w:tcW w:w="265" w:type="pct"/>
            <w:tcBorders>
              <w:top w:val="nil"/>
              <w:left w:val="nil"/>
              <w:bottom w:val="nil"/>
              <w:right w:val="nil"/>
            </w:tcBorders>
            <w:shd w:val="clear" w:color="auto" w:fill="auto"/>
            <w:noWrap/>
            <w:vAlign w:val="bottom"/>
            <w:hideMark/>
          </w:tcPr>
          <w:p w14:paraId="788CE18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2</w:t>
            </w:r>
          </w:p>
        </w:tc>
        <w:tc>
          <w:tcPr>
            <w:tcW w:w="992" w:type="pct"/>
            <w:tcBorders>
              <w:top w:val="nil"/>
              <w:left w:val="nil"/>
              <w:bottom w:val="nil"/>
              <w:right w:val="nil"/>
            </w:tcBorders>
            <w:shd w:val="clear" w:color="auto" w:fill="auto"/>
            <w:noWrap/>
            <w:vAlign w:val="bottom"/>
            <w:hideMark/>
          </w:tcPr>
          <w:p w14:paraId="4FB61F16"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Public space use</w:t>
            </w:r>
          </w:p>
        </w:tc>
        <w:tc>
          <w:tcPr>
            <w:tcW w:w="467" w:type="pct"/>
            <w:tcBorders>
              <w:top w:val="nil"/>
              <w:left w:val="nil"/>
              <w:bottom w:val="nil"/>
              <w:right w:val="nil"/>
            </w:tcBorders>
            <w:shd w:val="clear" w:color="auto" w:fill="auto"/>
            <w:noWrap/>
            <w:vAlign w:val="bottom"/>
            <w:hideMark/>
          </w:tcPr>
          <w:p w14:paraId="18D37DD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2,200 </w:t>
            </w:r>
          </w:p>
        </w:tc>
        <w:tc>
          <w:tcPr>
            <w:tcW w:w="467" w:type="pct"/>
            <w:tcBorders>
              <w:top w:val="nil"/>
              <w:left w:val="nil"/>
              <w:bottom w:val="nil"/>
              <w:right w:val="nil"/>
            </w:tcBorders>
            <w:shd w:val="clear" w:color="auto" w:fill="auto"/>
            <w:noWrap/>
            <w:vAlign w:val="bottom"/>
            <w:hideMark/>
          </w:tcPr>
          <w:p w14:paraId="048E60D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1,262 </w:t>
            </w:r>
          </w:p>
        </w:tc>
        <w:tc>
          <w:tcPr>
            <w:tcW w:w="469" w:type="pct"/>
            <w:tcBorders>
              <w:top w:val="nil"/>
              <w:left w:val="nil"/>
              <w:bottom w:val="nil"/>
              <w:right w:val="nil"/>
            </w:tcBorders>
            <w:shd w:val="clear" w:color="auto" w:fill="auto"/>
            <w:noWrap/>
            <w:vAlign w:val="bottom"/>
            <w:hideMark/>
          </w:tcPr>
          <w:p w14:paraId="6525EE7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57%</w:t>
            </w:r>
          </w:p>
        </w:tc>
        <w:tc>
          <w:tcPr>
            <w:tcW w:w="467" w:type="pct"/>
            <w:tcBorders>
              <w:top w:val="nil"/>
              <w:left w:val="nil"/>
              <w:bottom w:val="nil"/>
              <w:right w:val="nil"/>
            </w:tcBorders>
            <w:shd w:val="clear" w:color="auto" w:fill="auto"/>
            <w:noWrap/>
            <w:vAlign w:val="bottom"/>
            <w:hideMark/>
          </w:tcPr>
          <w:p w14:paraId="7B3B688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3,500 </w:t>
            </w:r>
          </w:p>
        </w:tc>
        <w:tc>
          <w:tcPr>
            <w:tcW w:w="467" w:type="pct"/>
            <w:tcBorders>
              <w:top w:val="nil"/>
              <w:left w:val="nil"/>
              <w:bottom w:val="nil"/>
              <w:right w:val="nil"/>
            </w:tcBorders>
            <w:shd w:val="clear" w:color="auto" w:fill="auto"/>
            <w:noWrap/>
            <w:vAlign w:val="bottom"/>
            <w:hideMark/>
          </w:tcPr>
          <w:p w14:paraId="312626EA"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1,049 </w:t>
            </w:r>
          </w:p>
        </w:tc>
        <w:tc>
          <w:tcPr>
            <w:tcW w:w="469" w:type="pct"/>
            <w:tcBorders>
              <w:top w:val="nil"/>
              <w:left w:val="nil"/>
              <w:bottom w:val="nil"/>
              <w:right w:val="nil"/>
            </w:tcBorders>
            <w:shd w:val="clear" w:color="auto" w:fill="auto"/>
            <w:noWrap/>
            <w:vAlign w:val="bottom"/>
            <w:hideMark/>
          </w:tcPr>
          <w:p w14:paraId="1FAF9C14"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30%</w:t>
            </w:r>
          </w:p>
        </w:tc>
        <w:tc>
          <w:tcPr>
            <w:tcW w:w="467" w:type="pct"/>
            <w:tcBorders>
              <w:top w:val="nil"/>
              <w:left w:val="nil"/>
              <w:bottom w:val="nil"/>
              <w:right w:val="nil"/>
            </w:tcBorders>
            <w:shd w:val="clear" w:color="auto" w:fill="auto"/>
            <w:noWrap/>
            <w:vAlign w:val="bottom"/>
            <w:hideMark/>
          </w:tcPr>
          <w:p w14:paraId="2F03602B"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159%</w:t>
            </w:r>
          </w:p>
        </w:tc>
        <w:tc>
          <w:tcPr>
            <w:tcW w:w="469" w:type="pct"/>
            <w:tcBorders>
              <w:top w:val="nil"/>
              <w:left w:val="nil"/>
              <w:bottom w:val="nil"/>
              <w:right w:val="nil"/>
            </w:tcBorders>
            <w:shd w:val="clear" w:color="auto" w:fill="auto"/>
            <w:noWrap/>
            <w:vAlign w:val="bottom"/>
            <w:hideMark/>
          </w:tcPr>
          <w:p w14:paraId="2F8D0E3D"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83%</w:t>
            </w:r>
          </w:p>
        </w:tc>
      </w:tr>
      <w:tr w:rsidR="002D4830" w:rsidRPr="002D4830" w14:paraId="186363CA" w14:textId="77777777" w:rsidTr="002D4830">
        <w:trPr>
          <w:trHeight w:val="280"/>
        </w:trPr>
        <w:tc>
          <w:tcPr>
            <w:tcW w:w="265" w:type="pct"/>
            <w:tcBorders>
              <w:top w:val="nil"/>
              <w:left w:val="nil"/>
              <w:bottom w:val="nil"/>
              <w:right w:val="nil"/>
            </w:tcBorders>
            <w:shd w:val="clear" w:color="auto" w:fill="auto"/>
            <w:noWrap/>
            <w:vAlign w:val="bottom"/>
            <w:hideMark/>
          </w:tcPr>
          <w:p w14:paraId="2086792A"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3</w:t>
            </w:r>
          </w:p>
        </w:tc>
        <w:tc>
          <w:tcPr>
            <w:tcW w:w="992" w:type="pct"/>
            <w:tcBorders>
              <w:top w:val="nil"/>
              <w:left w:val="nil"/>
              <w:bottom w:val="nil"/>
              <w:right w:val="nil"/>
            </w:tcBorders>
            <w:shd w:val="clear" w:color="auto" w:fill="auto"/>
            <w:noWrap/>
            <w:vAlign w:val="bottom"/>
            <w:hideMark/>
          </w:tcPr>
          <w:p w14:paraId="61E315D3" w14:textId="77777777" w:rsidR="00CF251F" w:rsidRPr="002D4830" w:rsidRDefault="00CF251F" w:rsidP="00CF251F">
            <w:pPr>
              <w:spacing w:after="0" w:line="240" w:lineRule="auto"/>
              <w:rPr>
                <w:rFonts w:ascii="Calibri" w:eastAsia="Times New Roman" w:hAnsi="Calibri" w:cs="Times New Roman"/>
                <w:color w:val="000000"/>
                <w:sz w:val="20"/>
                <w:szCs w:val="20"/>
              </w:rPr>
            </w:pPr>
            <w:proofErr w:type="spellStart"/>
            <w:r w:rsidRPr="002D4830">
              <w:rPr>
                <w:rFonts w:ascii="Calibri" w:eastAsia="Times New Roman" w:hAnsi="Calibri" w:cs="Times New Roman"/>
                <w:color w:val="000000"/>
                <w:sz w:val="20"/>
                <w:szCs w:val="20"/>
              </w:rPr>
              <w:t>Licences</w:t>
            </w:r>
            <w:proofErr w:type="spellEnd"/>
            <w:r w:rsidRPr="002D4830">
              <w:rPr>
                <w:rFonts w:ascii="Calibri" w:eastAsia="Times New Roman" w:hAnsi="Calibri" w:cs="Times New Roman"/>
                <w:color w:val="000000"/>
                <w:sz w:val="20"/>
                <w:szCs w:val="20"/>
              </w:rPr>
              <w:t xml:space="preserve"> and fees</w:t>
            </w:r>
          </w:p>
        </w:tc>
        <w:tc>
          <w:tcPr>
            <w:tcW w:w="467" w:type="pct"/>
            <w:tcBorders>
              <w:top w:val="nil"/>
              <w:left w:val="nil"/>
              <w:bottom w:val="nil"/>
              <w:right w:val="nil"/>
            </w:tcBorders>
            <w:shd w:val="clear" w:color="auto" w:fill="auto"/>
            <w:noWrap/>
            <w:vAlign w:val="bottom"/>
            <w:hideMark/>
          </w:tcPr>
          <w:p w14:paraId="5FC92A2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900 </w:t>
            </w:r>
          </w:p>
        </w:tc>
        <w:tc>
          <w:tcPr>
            <w:tcW w:w="467" w:type="pct"/>
            <w:tcBorders>
              <w:top w:val="nil"/>
              <w:left w:val="nil"/>
              <w:bottom w:val="nil"/>
              <w:right w:val="nil"/>
            </w:tcBorders>
            <w:shd w:val="clear" w:color="auto" w:fill="auto"/>
            <w:noWrap/>
            <w:vAlign w:val="bottom"/>
            <w:hideMark/>
          </w:tcPr>
          <w:p w14:paraId="4361EBB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422 </w:t>
            </w:r>
          </w:p>
        </w:tc>
        <w:tc>
          <w:tcPr>
            <w:tcW w:w="469" w:type="pct"/>
            <w:tcBorders>
              <w:top w:val="nil"/>
              <w:left w:val="nil"/>
              <w:bottom w:val="nil"/>
              <w:right w:val="nil"/>
            </w:tcBorders>
            <w:shd w:val="clear" w:color="auto" w:fill="auto"/>
            <w:noWrap/>
            <w:vAlign w:val="bottom"/>
            <w:hideMark/>
          </w:tcPr>
          <w:p w14:paraId="1E9D6A8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47%</w:t>
            </w:r>
          </w:p>
        </w:tc>
        <w:tc>
          <w:tcPr>
            <w:tcW w:w="467" w:type="pct"/>
            <w:tcBorders>
              <w:top w:val="nil"/>
              <w:left w:val="nil"/>
              <w:bottom w:val="nil"/>
              <w:right w:val="nil"/>
            </w:tcBorders>
            <w:shd w:val="clear" w:color="auto" w:fill="auto"/>
            <w:noWrap/>
            <w:vAlign w:val="bottom"/>
            <w:hideMark/>
          </w:tcPr>
          <w:p w14:paraId="180CB814"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1,000 </w:t>
            </w:r>
          </w:p>
        </w:tc>
        <w:tc>
          <w:tcPr>
            <w:tcW w:w="467" w:type="pct"/>
            <w:tcBorders>
              <w:top w:val="nil"/>
              <w:left w:val="nil"/>
              <w:bottom w:val="nil"/>
              <w:right w:val="nil"/>
            </w:tcBorders>
            <w:shd w:val="clear" w:color="auto" w:fill="auto"/>
            <w:noWrap/>
            <w:vAlign w:val="bottom"/>
            <w:hideMark/>
          </w:tcPr>
          <w:p w14:paraId="3AFE947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766 </w:t>
            </w:r>
          </w:p>
        </w:tc>
        <w:tc>
          <w:tcPr>
            <w:tcW w:w="469" w:type="pct"/>
            <w:tcBorders>
              <w:top w:val="nil"/>
              <w:left w:val="nil"/>
              <w:bottom w:val="nil"/>
              <w:right w:val="nil"/>
            </w:tcBorders>
            <w:shd w:val="clear" w:color="auto" w:fill="auto"/>
            <w:noWrap/>
            <w:vAlign w:val="bottom"/>
            <w:hideMark/>
          </w:tcPr>
          <w:p w14:paraId="53931BE2"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77%</w:t>
            </w:r>
          </w:p>
        </w:tc>
        <w:tc>
          <w:tcPr>
            <w:tcW w:w="467" w:type="pct"/>
            <w:tcBorders>
              <w:top w:val="nil"/>
              <w:left w:val="nil"/>
              <w:bottom w:val="nil"/>
              <w:right w:val="nil"/>
            </w:tcBorders>
            <w:shd w:val="clear" w:color="auto" w:fill="auto"/>
            <w:noWrap/>
            <w:vAlign w:val="bottom"/>
            <w:hideMark/>
          </w:tcPr>
          <w:p w14:paraId="4DA187D7"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111%</w:t>
            </w:r>
          </w:p>
        </w:tc>
        <w:tc>
          <w:tcPr>
            <w:tcW w:w="469" w:type="pct"/>
            <w:tcBorders>
              <w:top w:val="nil"/>
              <w:left w:val="nil"/>
              <w:bottom w:val="nil"/>
              <w:right w:val="nil"/>
            </w:tcBorders>
            <w:shd w:val="clear" w:color="auto" w:fill="auto"/>
            <w:noWrap/>
            <w:vAlign w:val="bottom"/>
            <w:hideMark/>
          </w:tcPr>
          <w:p w14:paraId="48E51BA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182%</w:t>
            </w:r>
          </w:p>
        </w:tc>
      </w:tr>
      <w:tr w:rsidR="002D4830" w:rsidRPr="002D4830" w14:paraId="4C94787D" w14:textId="77777777" w:rsidTr="002D4830">
        <w:trPr>
          <w:trHeight w:val="280"/>
        </w:trPr>
        <w:tc>
          <w:tcPr>
            <w:tcW w:w="265" w:type="pct"/>
            <w:tcBorders>
              <w:top w:val="nil"/>
              <w:left w:val="nil"/>
              <w:bottom w:val="nil"/>
              <w:right w:val="nil"/>
            </w:tcBorders>
            <w:shd w:val="clear" w:color="auto" w:fill="auto"/>
            <w:noWrap/>
            <w:vAlign w:val="bottom"/>
            <w:hideMark/>
          </w:tcPr>
          <w:p w14:paraId="37F7E8BE"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w:t>
            </w:r>
          </w:p>
        </w:tc>
        <w:tc>
          <w:tcPr>
            <w:tcW w:w="992" w:type="pct"/>
            <w:tcBorders>
              <w:top w:val="nil"/>
              <w:left w:val="nil"/>
              <w:bottom w:val="nil"/>
              <w:right w:val="nil"/>
            </w:tcBorders>
            <w:shd w:val="clear" w:color="auto" w:fill="auto"/>
            <w:noWrap/>
            <w:vAlign w:val="bottom"/>
            <w:hideMark/>
          </w:tcPr>
          <w:p w14:paraId="3CA888E1"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Parking fee</w:t>
            </w:r>
          </w:p>
        </w:tc>
        <w:tc>
          <w:tcPr>
            <w:tcW w:w="467" w:type="pct"/>
            <w:tcBorders>
              <w:top w:val="nil"/>
              <w:left w:val="nil"/>
              <w:bottom w:val="nil"/>
              <w:right w:val="nil"/>
            </w:tcBorders>
            <w:shd w:val="clear" w:color="auto" w:fill="auto"/>
            <w:noWrap/>
            <w:vAlign w:val="bottom"/>
            <w:hideMark/>
          </w:tcPr>
          <w:p w14:paraId="289800FF"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2,860 </w:t>
            </w:r>
          </w:p>
        </w:tc>
        <w:tc>
          <w:tcPr>
            <w:tcW w:w="467" w:type="pct"/>
            <w:tcBorders>
              <w:top w:val="nil"/>
              <w:left w:val="nil"/>
              <w:bottom w:val="nil"/>
              <w:right w:val="nil"/>
            </w:tcBorders>
            <w:shd w:val="clear" w:color="auto" w:fill="auto"/>
            <w:noWrap/>
            <w:vAlign w:val="bottom"/>
            <w:hideMark/>
          </w:tcPr>
          <w:p w14:paraId="6A6B07A2"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1,565 </w:t>
            </w:r>
          </w:p>
        </w:tc>
        <w:tc>
          <w:tcPr>
            <w:tcW w:w="469" w:type="pct"/>
            <w:tcBorders>
              <w:top w:val="nil"/>
              <w:left w:val="nil"/>
              <w:bottom w:val="nil"/>
              <w:right w:val="nil"/>
            </w:tcBorders>
            <w:shd w:val="clear" w:color="auto" w:fill="auto"/>
            <w:noWrap/>
            <w:vAlign w:val="bottom"/>
            <w:hideMark/>
          </w:tcPr>
          <w:p w14:paraId="2710B94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55%</w:t>
            </w:r>
          </w:p>
        </w:tc>
        <w:tc>
          <w:tcPr>
            <w:tcW w:w="467" w:type="pct"/>
            <w:tcBorders>
              <w:top w:val="nil"/>
              <w:left w:val="nil"/>
              <w:bottom w:val="nil"/>
              <w:right w:val="nil"/>
            </w:tcBorders>
            <w:shd w:val="clear" w:color="auto" w:fill="auto"/>
            <w:noWrap/>
            <w:vAlign w:val="bottom"/>
            <w:hideMark/>
          </w:tcPr>
          <w:p w14:paraId="479FBF9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2,900 </w:t>
            </w:r>
          </w:p>
        </w:tc>
        <w:tc>
          <w:tcPr>
            <w:tcW w:w="467" w:type="pct"/>
            <w:tcBorders>
              <w:top w:val="nil"/>
              <w:left w:val="nil"/>
              <w:bottom w:val="nil"/>
              <w:right w:val="nil"/>
            </w:tcBorders>
            <w:shd w:val="clear" w:color="auto" w:fill="auto"/>
            <w:noWrap/>
            <w:vAlign w:val="bottom"/>
            <w:hideMark/>
          </w:tcPr>
          <w:p w14:paraId="5684E60E"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1,141 </w:t>
            </w:r>
          </w:p>
        </w:tc>
        <w:tc>
          <w:tcPr>
            <w:tcW w:w="469" w:type="pct"/>
            <w:tcBorders>
              <w:top w:val="nil"/>
              <w:left w:val="nil"/>
              <w:bottom w:val="nil"/>
              <w:right w:val="nil"/>
            </w:tcBorders>
            <w:shd w:val="clear" w:color="auto" w:fill="auto"/>
            <w:noWrap/>
            <w:vAlign w:val="bottom"/>
            <w:hideMark/>
          </w:tcPr>
          <w:p w14:paraId="437A92C2"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39%</w:t>
            </w:r>
          </w:p>
        </w:tc>
        <w:tc>
          <w:tcPr>
            <w:tcW w:w="467" w:type="pct"/>
            <w:tcBorders>
              <w:top w:val="nil"/>
              <w:left w:val="nil"/>
              <w:bottom w:val="nil"/>
              <w:right w:val="nil"/>
            </w:tcBorders>
            <w:shd w:val="clear" w:color="auto" w:fill="auto"/>
            <w:noWrap/>
            <w:vAlign w:val="bottom"/>
            <w:hideMark/>
          </w:tcPr>
          <w:p w14:paraId="505CF6FD"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101%</w:t>
            </w:r>
          </w:p>
        </w:tc>
        <w:tc>
          <w:tcPr>
            <w:tcW w:w="469" w:type="pct"/>
            <w:tcBorders>
              <w:top w:val="nil"/>
              <w:left w:val="nil"/>
              <w:bottom w:val="nil"/>
              <w:right w:val="nil"/>
            </w:tcBorders>
            <w:shd w:val="clear" w:color="auto" w:fill="auto"/>
            <w:noWrap/>
            <w:vAlign w:val="bottom"/>
            <w:hideMark/>
          </w:tcPr>
          <w:p w14:paraId="197C31F0"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73%</w:t>
            </w:r>
          </w:p>
        </w:tc>
      </w:tr>
      <w:tr w:rsidR="002D4830" w:rsidRPr="002D4830" w14:paraId="3C105B6A" w14:textId="77777777" w:rsidTr="002D4830">
        <w:trPr>
          <w:trHeight w:val="280"/>
        </w:trPr>
        <w:tc>
          <w:tcPr>
            <w:tcW w:w="265" w:type="pct"/>
            <w:tcBorders>
              <w:top w:val="nil"/>
              <w:left w:val="nil"/>
              <w:bottom w:val="nil"/>
              <w:right w:val="nil"/>
            </w:tcBorders>
            <w:shd w:val="clear" w:color="auto" w:fill="auto"/>
            <w:noWrap/>
            <w:vAlign w:val="bottom"/>
            <w:hideMark/>
          </w:tcPr>
          <w:p w14:paraId="76DF2501"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B</w:t>
            </w:r>
          </w:p>
        </w:tc>
        <w:tc>
          <w:tcPr>
            <w:tcW w:w="992" w:type="pct"/>
            <w:tcBorders>
              <w:top w:val="nil"/>
              <w:left w:val="nil"/>
              <w:bottom w:val="nil"/>
              <w:right w:val="nil"/>
            </w:tcBorders>
            <w:shd w:val="clear" w:color="auto" w:fill="auto"/>
            <w:noWrap/>
            <w:vAlign w:val="bottom"/>
            <w:hideMark/>
          </w:tcPr>
          <w:p w14:paraId="699B9025"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Non tax revenues</w:t>
            </w:r>
          </w:p>
        </w:tc>
        <w:tc>
          <w:tcPr>
            <w:tcW w:w="467" w:type="pct"/>
            <w:tcBorders>
              <w:top w:val="nil"/>
              <w:left w:val="nil"/>
              <w:bottom w:val="nil"/>
              <w:right w:val="nil"/>
            </w:tcBorders>
            <w:shd w:val="clear" w:color="auto" w:fill="auto"/>
            <w:noWrap/>
            <w:vAlign w:val="bottom"/>
            <w:hideMark/>
          </w:tcPr>
          <w:p w14:paraId="0FF5D427"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64,206 </w:t>
            </w:r>
          </w:p>
        </w:tc>
        <w:tc>
          <w:tcPr>
            <w:tcW w:w="467" w:type="pct"/>
            <w:tcBorders>
              <w:top w:val="nil"/>
              <w:left w:val="nil"/>
              <w:bottom w:val="nil"/>
              <w:right w:val="nil"/>
            </w:tcBorders>
            <w:shd w:val="clear" w:color="auto" w:fill="auto"/>
            <w:noWrap/>
            <w:vAlign w:val="bottom"/>
            <w:hideMark/>
          </w:tcPr>
          <w:p w14:paraId="64D8A78B"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32,710 </w:t>
            </w:r>
          </w:p>
        </w:tc>
        <w:tc>
          <w:tcPr>
            <w:tcW w:w="469" w:type="pct"/>
            <w:tcBorders>
              <w:top w:val="nil"/>
              <w:left w:val="nil"/>
              <w:bottom w:val="nil"/>
              <w:right w:val="nil"/>
            </w:tcBorders>
            <w:shd w:val="clear" w:color="auto" w:fill="auto"/>
            <w:noWrap/>
            <w:vAlign w:val="bottom"/>
            <w:hideMark/>
          </w:tcPr>
          <w:p w14:paraId="66A0755B"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51%</w:t>
            </w:r>
          </w:p>
        </w:tc>
        <w:tc>
          <w:tcPr>
            <w:tcW w:w="467" w:type="pct"/>
            <w:tcBorders>
              <w:top w:val="nil"/>
              <w:left w:val="nil"/>
              <w:bottom w:val="nil"/>
              <w:right w:val="nil"/>
            </w:tcBorders>
            <w:shd w:val="clear" w:color="auto" w:fill="auto"/>
            <w:noWrap/>
            <w:vAlign w:val="bottom"/>
            <w:hideMark/>
          </w:tcPr>
          <w:p w14:paraId="34C3198C"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56,330 </w:t>
            </w:r>
          </w:p>
        </w:tc>
        <w:tc>
          <w:tcPr>
            <w:tcW w:w="467" w:type="pct"/>
            <w:tcBorders>
              <w:top w:val="nil"/>
              <w:left w:val="nil"/>
              <w:bottom w:val="nil"/>
              <w:right w:val="nil"/>
            </w:tcBorders>
            <w:shd w:val="clear" w:color="auto" w:fill="auto"/>
            <w:noWrap/>
            <w:vAlign w:val="bottom"/>
            <w:hideMark/>
          </w:tcPr>
          <w:p w14:paraId="3BB7E282"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23,577 </w:t>
            </w:r>
          </w:p>
        </w:tc>
        <w:tc>
          <w:tcPr>
            <w:tcW w:w="469" w:type="pct"/>
            <w:tcBorders>
              <w:top w:val="nil"/>
              <w:left w:val="nil"/>
              <w:bottom w:val="nil"/>
              <w:right w:val="nil"/>
            </w:tcBorders>
            <w:shd w:val="clear" w:color="auto" w:fill="auto"/>
            <w:noWrap/>
            <w:vAlign w:val="bottom"/>
            <w:hideMark/>
          </w:tcPr>
          <w:p w14:paraId="1879561E"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42%</w:t>
            </w:r>
          </w:p>
        </w:tc>
        <w:tc>
          <w:tcPr>
            <w:tcW w:w="467" w:type="pct"/>
            <w:tcBorders>
              <w:top w:val="nil"/>
              <w:left w:val="nil"/>
              <w:bottom w:val="nil"/>
              <w:right w:val="nil"/>
            </w:tcBorders>
            <w:shd w:val="clear" w:color="auto" w:fill="auto"/>
            <w:noWrap/>
            <w:vAlign w:val="bottom"/>
            <w:hideMark/>
          </w:tcPr>
          <w:p w14:paraId="01E97BEB"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88%</w:t>
            </w:r>
          </w:p>
        </w:tc>
        <w:tc>
          <w:tcPr>
            <w:tcW w:w="469" w:type="pct"/>
            <w:tcBorders>
              <w:top w:val="nil"/>
              <w:left w:val="nil"/>
              <w:bottom w:val="nil"/>
              <w:right w:val="nil"/>
            </w:tcBorders>
            <w:shd w:val="clear" w:color="auto" w:fill="auto"/>
            <w:noWrap/>
            <w:vAlign w:val="bottom"/>
            <w:hideMark/>
          </w:tcPr>
          <w:p w14:paraId="754390A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72%</w:t>
            </w:r>
          </w:p>
        </w:tc>
      </w:tr>
      <w:tr w:rsidR="002D4830" w:rsidRPr="002D4830" w14:paraId="3D05B6B7" w14:textId="77777777" w:rsidTr="002D4830">
        <w:trPr>
          <w:trHeight w:val="280"/>
        </w:trPr>
        <w:tc>
          <w:tcPr>
            <w:tcW w:w="265" w:type="pct"/>
            <w:tcBorders>
              <w:top w:val="nil"/>
              <w:left w:val="nil"/>
              <w:bottom w:val="nil"/>
              <w:right w:val="nil"/>
            </w:tcBorders>
            <w:shd w:val="clear" w:color="auto" w:fill="auto"/>
            <w:noWrap/>
            <w:vAlign w:val="bottom"/>
            <w:hideMark/>
          </w:tcPr>
          <w:p w14:paraId="5A8FC3B4"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6</w:t>
            </w:r>
          </w:p>
        </w:tc>
        <w:tc>
          <w:tcPr>
            <w:tcW w:w="992" w:type="pct"/>
            <w:tcBorders>
              <w:top w:val="nil"/>
              <w:left w:val="nil"/>
              <w:bottom w:val="nil"/>
              <w:right w:val="nil"/>
            </w:tcBorders>
            <w:shd w:val="clear" w:color="auto" w:fill="auto"/>
            <w:noWrap/>
            <w:vAlign w:val="bottom"/>
            <w:hideMark/>
          </w:tcPr>
          <w:p w14:paraId="5853B432" w14:textId="77777777" w:rsidR="00CF251F" w:rsidRPr="002D4830" w:rsidRDefault="00CF251F" w:rsidP="00CF251F">
            <w:pPr>
              <w:spacing w:after="0" w:line="240" w:lineRule="auto"/>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Other</w:t>
            </w:r>
          </w:p>
        </w:tc>
        <w:tc>
          <w:tcPr>
            <w:tcW w:w="467" w:type="pct"/>
            <w:tcBorders>
              <w:top w:val="nil"/>
              <w:left w:val="nil"/>
              <w:bottom w:val="nil"/>
              <w:right w:val="nil"/>
            </w:tcBorders>
            <w:shd w:val="clear" w:color="auto" w:fill="auto"/>
            <w:noWrap/>
            <w:vAlign w:val="bottom"/>
            <w:hideMark/>
          </w:tcPr>
          <w:p w14:paraId="1E34B9E8"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22,812 </w:t>
            </w:r>
          </w:p>
        </w:tc>
        <w:tc>
          <w:tcPr>
            <w:tcW w:w="467" w:type="pct"/>
            <w:tcBorders>
              <w:top w:val="nil"/>
              <w:left w:val="nil"/>
              <w:bottom w:val="nil"/>
              <w:right w:val="nil"/>
            </w:tcBorders>
            <w:shd w:val="clear" w:color="auto" w:fill="auto"/>
            <w:noWrap/>
            <w:vAlign w:val="bottom"/>
            <w:hideMark/>
          </w:tcPr>
          <w:p w14:paraId="67CCC7A7"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16,294 </w:t>
            </w:r>
          </w:p>
        </w:tc>
        <w:tc>
          <w:tcPr>
            <w:tcW w:w="469" w:type="pct"/>
            <w:tcBorders>
              <w:top w:val="nil"/>
              <w:left w:val="nil"/>
              <w:bottom w:val="nil"/>
              <w:right w:val="nil"/>
            </w:tcBorders>
            <w:shd w:val="clear" w:color="auto" w:fill="auto"/>
            <w:noWrap/>
            <w:vAlign w:val="bottom"/>
            <w:hideMark/>
          </w:tcPr>
          <w:p w14:paraId="361451B9"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71%</w:t>
            </w:r>
          </w:p>
        </w:tc>
        <w:tc>
          <w:tcPr>
            <w:tcW w:w="467" w:type="pct"/>
            <w:tcBorders>
              <w:top w:val="nil"/>
              <w:left w:val="nil"/>
              <w:bottom w:val="nil"/>
              <w:right w:val="nil"/>
            </w:tcBorders>
            <w:shd w:val="clear" w:color="auto" w:fill="auto"/>
            <w:noWrap/>
            <w:vAlign w:val="bottom"/>
            <w:hideMark/>
          </w:tcPr>
          <w:p w14:paraId="448FE9F1"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27,000 </w:t>
            </w:r>
          </w:p>
        </w:tc>
        <w:tc>
          <w:tcPr>
            <w:tcW w:w="467" w:type="pct"/>
            <w:tcBorders>
              <w:top w:val="nil"/>
              <w:left w:val="nil"/>
              <w:bottom w:val="nil"/>
              <w:right w:val="nil"/>
            </w:tcBorders>
            <w:shd w:val="clear" w:color="auto" w:fill="auto"/>
            <w:noWrap/>
            <w:vAlign w:val="bottom"/>
            <w:hideMark/>
          </w:tcPr>
          <w:p w14:paraId="600EA42E"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 xml:space="preserve"> 16,951 </w:t>
            </w:r>
          </w:p>
        </w:tc>
        <w:tc>
          <w:tcPr>
            <w:tcW w:w="469" w:type="pct"/>
            <w:tcBorders>
              <w:top w:val="nil"/>
              <w:left w:val="nil"/>
              <w:bottom w:val="nil"/>
              <w:right w:val="nil"/>
            </w:tcBorders>
            <w:shd w:val="clear" w:color="auto" w:fill="auto"/>
            <w:noWrap/>
            <w:vAlign w:val="bottom"/>
            <w:hideMark/>
          </w:tcPr>
          <w:p w14:paraId="2CBD6C8D"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63%</w:t>
            </w:r>
          </w:p>
        </w:tc>
        <w:tc>
          <w:tcPr>
            <w:tcW w:w="467" w:type="pct"/>
            <w:tcBorders>
              <w:top w:val="nil"/>
              <w:left w:val="nil"/>
              <w:bottom w:val="nil"/>
              <w:right w:val="nil"/>
            </w:tcBorders>
            <w:shd w:val="clear" w:color="auto" w:fill="auto"/>
            <w:noWrap/>
            <w:vAlign w:val="bottom"/>
            <w:hideMark/>
          </w:tcPr>
          <w:p w14:paraId="79FA3004"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118%</w:t>
            </w:r>
          </w:p>
        </w:tc>
        <w:tc>
          <w:tcPr>
            <w:tcW w:w="469" w:type="pct"/>
            <w:tcBorders>
              <w:top w:val="nil"/>
              <w:left w:val="nil"/>
              <w:bottom w:val="nil"/>
              <w:right w:val="nil"/>
            </w:tcBorders>
            <w:shd w:val="clear" w:color="auto" w:fill="auto"/>
            <w:noWrap/>
            <w:vAlign w:val="bottom"/>
            <w:hideMark/>
          </w:tcPr>
          <w:p w14:paraId="0E10FEA5" w14:textId="77777777" w:rsidR="00CF251F" w:rsidRPr="002D4830" w:rsidRDefault="00CF251F" w:rsidP="00CF251F">
            <w:pPr>
              <w:spacing w:after="0" w:line="240" w:lineRule="auto"/>
              <w:jc w:val="right"/>
              <w:rPr>
                <w:rFonts w:ascii="Calibri" w:eastAsia="Times New Roman" w:hAnsi="Calibri" w:cs="Times New Roman"/>
                <w:color w:val="000000"/>
                <w:sz w:val="20"/>
                <w:szCs w:val="20"/>
              </w:rPr>
            </w:pPr>
            <w:r w:rsidRPr="002D4830">
              <w:rPr>
                <w:rFonts w:ascii="Calibri" w:eastAsia="Times New Roman" w:hAnsi="Calibri" w:cs="Times New Roman"/>
                <w:color w:val="000000"/>
                <w:sz w:val="20"/>
                <w:szCs w:val="20"/>
              </w:rPr>
              <w:t>104%</w:t>
            </w:r>
          </w:p>
        </w:tc>
      </w:tr>
      <w:tr w:rsidR="002D4830" w:rsidRPr="002D4830" w14:paraId="35F7BCEE" w14:textId="77777777" w:rsidTr="002D4830">
        <w:trPr>
          <w:trHeight w:val="280"/>
        </w:trPr>
        <w:tc>
          <w:tcPr>
            <w:tcW w:w="265" w:type="pct"/>
            <w:tcBorders>
              <w:top w:val="nil"/>
              <w:left w:val="nil"/>
              <w:bottom w:val="nil"/>
              <w:right w:val="nil"/>
            </w:tcBorders>
            <w:shd w:val="clear" w:color="auto" w:fill="auto"/>
            <w:noWrap/>
            <w:vAlign w:val="bottom"/>
            <w:hideMark/>
          </w:tcPr>
          <w:p w14:paraId="1F3F5BDB" w14:textId="77777777" w:rsidR="00CF251F" w:rsidRPr="002D4830" w:rsidRDefault="00CF251F" w:rsidP="00CF251F">
            <w:pPr>
              <w:spacing w:after="0" w:line="240" w:lineRule="auto"/>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Total</w:t>
            </w:r>
          </w:p>
        </w:tc>
        <w:tc>
          <w:tcPr>
            <w:tcW w:w="992" w:type="pct"/>
            <w:tcBorders>
              <w:top w:val="nil"/>
              <w:left w:val="nil"/>
              <w:bottom w:val="nil"/>
              <w:right w:val="nil"/>
            </w:tcBorders>
            <w:shd w:val="clear" w:color="auto" w:fill="auto"/>
            <w:noWrap/>
            <w:vAlign w:val="bottom"/>
            <w:hideMark/>
          </w:tcPr>
          <w:p w14:paraId="5CB39E13" w14:textId="77777777" w:rsidR="00CF251F" w:rsidRPr="002D4830" w:rsidRDefault="00CF251F" w:rsidP="00CF251F">
            <w:pPr>
              <w:spacing w:after="0" w:line="240" w:lineRule="auto"/>
              <w:rPr>
                <w:rFonts w:ascii="Calibri" w:eastAsia="Times New Roman" w:hAnsi="Calibri" w:cs="Times New Roman"/>
                <w:b/>
                <w:bCs/>
                <w:color w:val="000000"/>
                <w:sz w:val="20"/>
                <w:szCs w:val="20"/>
              </w:rPr>
            </w:pPr>
          </w:p>
        </w:tc>
        <w:tc>
          <w:tcPr>
            <w:tcW w:w="467" w:type="pct"/>
            <w:tcBorders>
              <w:top w:val="nil"/>
              <w:left w:val="nil"/>
              <w:bottom w:val="nil"/>
              <w:right w:val="nil"/>
            </w:tcBorders>
            <w:shd w:val="clear" w:color="auto" w:fill="auto"/>
            <w:noWrap/>
            <w:vAlign w:val="bottom"/>
            <w:hideMark/>
          </w:tcPr>
          <w:p w14:paraId="71C41D9C" w14:textId="77777777" w:rsidR="00CF251F" w:rsidRPr="002D4830" w:rsidRDefault="00CF251F" w:rsidP="00CF251F">
            <w:pPr>
              <w:spacing w:after="0" w:line="240" w:lineRule="auto"/>
              <w:jc w:val="right"/>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 xml:space="preserve"> 216,174 </w:t>
            </w:r>
          </w:p>
        </w:tc>
        <w:tc>
          <w:tcPr>
            <w:tcW w:w="467" w:type="pct"/>
            <w:tcBorders>
              <w:top w:val="nil"/>
              <w:left w:val="nil"/>
              <w:bottom w:val="nil"/>
              <w:right w:val="nil"/>
            </w:tcBorders>
            <w:shd w:val="clear" w:color="auto" w:fill="auto"/>
            <w:noWrap/>
            <w:vAlign w:val="bottom"/>
            <w:hideMark/>
          </w:tcPr>
          <w:p w14:paraId="0BB0DA4B" w14:textId="77777777" w:rsidR="00CF251F" w:rsidRPr="002D4830" w:rsidRDefault="00CF251F" w:rsidP="00CF251F">
            <w:pPr>
              <w:spacing w:after="0" w:line="240" w:lineRule="auto"/>
              <w:jc w:val="right"/>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 xml:space="preserve"> 103,871 </w:t>
            </w:r>
          </w:p>
        </w:tc>
        <w:tc>
          <w:tcPr>
            <w:tcW w:w="469" w:type="pct"/>
            <w:tcBorders>
              <w:top w:val="nil"/>
              <w:left w:val="nil"/>
              <w:bottom w:val="nil"/>
              <w:right w:val="nil"/>
            </w:tcBorders>
            <w:shd w:val="clear" w:color="auto" w:fill="auto"/>
            <w:noWrap/>
            <w:vAlign w:val="bottom"/>
            <w:hideMark/>
          </w:tcPr>
          <w:p w14:paraId="1AB32306" w14:textId="77777777" w:rsidR="00CF251F" w:rsidRPr="002D4830" w:rsidRDefault="00CF251F" w:rsidP="00CF251F">
            <w:pPr>
              <w:spacing w:after="0" w:line="240" w:lineRule="auto"/>
              <w:jc w:val="right"/>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48%</w:t>
            </w:r>
          </w:p>
        </w:tc>
        <w:tc>
          <w:tcPr>
            <w:tcW w:w="467" w:type="pct"/>
            <w:tcBorders>
              <w:top w:val="nil"/>
              <w:left w:val="nil"/>
              <w:bottom w:val="nil"/>
              <w:right w:val="nil"/>
            </w:tcBorders>
            <w:shd w:val="clear" w:color="auto" w:fill="auto"/>
            <w:noWrap/>
            <w:vAlign w:val="bottom"/>
            <w:hideMark/>
          </w:tcPr>
          <w:p w14:paraId="6553645C" w14:textId="77777777" w:rsidR="00CF251F" w:rsidRPr="002D4830" w:rsidRDefault="00CF251F" w:rsidP="00CF251F">
            <w:pPr>
              <w:spacing w:after="0" w:line="240" w:lineRule="auto"/>
              <w:jc w:val="right"/>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 xml:space="preserve"> 223,486 </w:t>
            </w:r>
          </w:p>
        </w:tc>
        <w:tc>
          <w:tcPr>
            <w:tcW w:w="467" w:type="pct"/>
            <w:tcBorders>
              <w:top w:val="nil"/>
              <w:left w:val="nil"/>
              <w:bottom w:val="nil"/>
              <w:right w:val="nil"/>
            </w:tcBorders>
            <w:shd w:val="clear" w:color="auto" w:fill="auto"/>
            <w:noWrap/>
            <w:vAlign w:val="bottom"/>
            <w:hideMark/>
          </w:tcPr>
          <w:p w14:paraId="4B3E0CB1" w14:textId="77777777" w:rsidR="00CF251F" w:rsidRPr="002D4830" w:rsidRDefault="00CF251F" w:rsidP="00CF251F">
            <w:pPr>
              <w:spacing w:after="0" w:line="240" w:lineRule="auto"/>
              <w:jc w:val="right"/>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 xml:space="preserve"> 99,051 </w:t>
            </w:r>
          </w:p>
        </w:tc>
        <w:tc>
          <w:tcPr>
            <w:tcW w:w="469" w:type="pct"/>
            <w:tcBorders>
              <w:top w:val="nil"/>
              <w:left w:val="nil"/>
              <w:bottom w:val="nil"/>
              <w:right w:val="nil"/>
            </w:tcBorders>
            <w:shd w:val="clear" w:color="auto" w:fill="auto"/>
            <w:noWrap/>
            <w:vAlign w:val="bottom"/>
            <w:hideMark/>
          </w:tcPr>
          <w:p w14:paraId="2679B207" w14:textId="77777777" w:rsidR="00CF251F" w:rsidRPr="002D4830" w:rsidRDefault="00CF251F" w:rsidP="00CF251F">
            <w:pPr>
              <w:spacing w:after="0" w:line="240" w:lineRule="auto"/>
              <w:jc w:val="right"/>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44%</w:t>
            </w:r>
          </w:p>
        </w:tc>
        <w:tc>
          <w:tcPr>
            <w:tcW w:w="467" w:type="pct"/>
            <w:tcBorders>
              <w:top w:val="nil"/>
              <w:left w:val="nil"/>
              <w:bottom w:val="nil"/>
              <w:right w:val="nil"/>
            </w:tcBorders>
            <w:shd w:val="clear" w:color="auto" w:fill="auto"/>
            <w:noWrap/>
            <w:vAlign w:val="bottom"/>
            <w:hideMark/>
          </w:tcPr>
          <w:p w14:paraId="25AF7436" w14:textId="77777777" w:rsidR="00CF251F" w:rsidRPr="002D4830" w:rsidRDefault="00CF251F" w:rsidP="00CF251F">
            <w:pPr>
              <w:spacing w:after="0" w:line="240" w:lineRule="auto"/>
              <w:jc w:val="right"/>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103%</w:t>
            </w:r>
          </w:p>
        </w:tc>
        <w:tc>
          <w:tcPr>
            <w:tcW w:w="469" w:type="pct"/>
            <w:tcBorders>
              <w:top w:val="nil"/>
              <w:left w:val="nil"/>
              <w:bottom w:val="nil"/>
              <w:right w:val="nil"/>
            </w:tcBorders>
            <w:shd w:val="clear" w:color="auto" w:fill="auto"/>
            <w:noWrap/>
            <w:vAlign w:val="bottom"/>
            <w:hideMark/>
          </w:tcPr>
          <w:p w14:paraId="570A01E6" w14:textId="77777777" w:rsidR="00CF251F" w:rsidRPr="002D4830" w:rsidRDefault="00CF251F" w:rsidP="00CF251F">
            <w:pPr>
              <w:spacing w:after="0" w:line="240" w:lineRule="auto"/>
              <w:jc w:val="right"/>
              <w:rPr>
                <w:rFonts w:ascii="Calibri" w:eastAsia="Times New Roman" w:hAnsi="Calibri" w:cs="Times New Roman"/>
                <w:b/>
                <w:bCs/>
                <w:color w:val="000000"/>
                <w:sz w:val="20"/>
                <w:szCs w:val="20"/>
              </w:rPr>
            </w:pPr>
            <w:r w:rsidRPr="002D4830">
              <w:rPr>
                <w:rFonts w:ascii="Calibri" w:eastAsia="Times New Roman" w:hAnsi="Calibri" w:cs="Times New Roman"/>
                <w:b/>
                <w:bCs/>
                <w:color w:val="000000"/>
                <w:sz w:val="20"/>
                <w:szCs w:val="20"/>
              </w:rPr>
              <w:t>95%</w:t>
            </w:r>
          </w:p>
        </w:tc>
      </w:tr>
    </w:tbl>
    <w:p w14:paraId="7C17D145" w14:textId="77777777" w:rsidR="006E5119" w:rsidRDefault="006E5119" w:rsidP="00CF251F">
      <w:pPr>
        <w:jc w:val="both"/>
      </w:pPr>
    </w:p>
    <w:p w14:paraId="38C449F7" w14:textId="77777777" w:rsidR="006E5119" w:rsidRPr="00F31385" w:rsidRDefault="00314B3D" w:rsidP="006E5119">
      <w:pPr>
        <w:pStyle w:val="Caption"/>
        <w:rPr>
          <w:rFonts w:asciiTheme="minorHAnsi" w:hAnsiTheme="minorHAnsi"/>
          <w:lang w:val="en-GB"/>
        </w:rPr>
      </w:pPr>
      <w:proofErr w:type="gramStart"/>
      <w:r>
        <w:t>Table</w:t>
      </w:r>
      <w:r w:rsidR="006E5119">
        <w:t xml:space="preserve"> </w:t>
      </w:r>
      <w:fldSimple w:instr=" SEQ Table \* ARABIC ">
        <w:r>
          <w:rPr>
            <w:noProof/>
          </w:rPr>
          <w:t>11</w:t>
        </w:r>
      </w:fldSimple>
      <w:r w:rsidR="006E5119">
        <w:t>.</w:t>
      </w:r>
      <w:proofErr w:type="gramEnd"/>
      <w:r w:rsidR="006E5119">
        <w:t xml:space="preserve"> Planned vs. actual revenues in a municipality</w:t>
      </w:r>
      <w:r w:rsidR="002D4830">
        <w:t xml:space="preserve"> </w:t>
      </w:r>
    </w:p>
    <w:p w14:paraId="5D5652FC" w14:textId="77777777" w:rsidR="002D4830" w:rsidRDefault="002D4830" w:rsidP="006E5119">
      <w:pPr>
        <w:jc w:val="both"/>
        <w:rPr>
          <w:rFonts w:cs="Times New Roman"/>
          <w:b/>
          <w:color w:val="000000"/>
        </w:rPr>
        <w:sectPr w:rsidR="002D4830" w:rsidSect="00CF251F">
          <w:pgSz w:w="15840" w:h="12240" w:orient="landscape"/>
          <w:pgMar w:top="1440" w:right="1440" w:bottom="1440" w:left="1440" w:header="720" w:footer="720" w:gutter="0"/>
          <w:cols w:space="720"/>
          <w:docGrid w:linePitch="360"/>
          <w:printerSettings r:id="rId17"/>
        </w:sectPr>
      </w:pPr>
    </w:p>
    <w:p w14:paraId="53BA679C" w14:textId="77777777" w:rsidR="006E5119" w:rsidRDefault="006E5119" w:rsidP="006E5119">
      <w:pPr>
        <w:jc w:val="both"/>
        <w:rPr>
          <w:rFonts w:cs="Times New Roman"/>
          <w:b/>
          <w:color w:val="000000"/>
        </w:rPr>
      </w:pPr>
    </w:p>
    <w:p w14:paraId="3125B240" w14:textId="77777777" w:rsidR="006E5119" w:rsidRDefault="006E5119" w:rsidP="006E5119">
      <w:pPr>
        <w:jc w:val="both"/>
      </w:pPr>
      <w:r>
        <w:t xml:space="preserve">Central budget policy has played an important role in the last two to three years for poor compliance of local budget estimates wit actual budgets. For instance, unconditional transfers were reduced for the first time in 2011 without previous notice and despite the general orientation of a constant increase in the </w:t>
      </w:r>
      <w:proofErr w:type="spellStart"/>
      <w:r>
        <w:t>MTBP</w:t>
      </w:r>
      <w:proofErr w:type="spellEnd"/>
      <w:r>
        <w:t xml:space="preserve">. </w:t>
      </w:r>
    </w:p>
    <w:p w14:paraId="0E340E48" w14:textId="77777777" w:rsidR="006E5119" w:rsidRDefault="006E5119" w:rsidP="006E5119">
      <w:pPr>
        <w:jc w:val="both"/>
      </w:pPr>
      <w:r>
        <w:t>Insolvency problems and disputes at the central level between the government and the Electricity Company demanding for settlement of unpaid bills by publicly owned companies caused the Ministry of Finance to intercept the final installments of the unconditional grant from local governments’ budgets and pay for these debts.</w:t>
      </w:r>
      <w:r>
        <w:rPr>
          <w:rStyle w:val="FootnoteReference"/>
        </w:rPr>
        <w:footnoteReference w:id="17"/>
      </w:r>
    </w:p>
    <w:p w14:paraId="7E148923" w14:textId="77777777" w:rsidR="006E5119" w:rsidRDefault="006E5119" w:rsidP="006E5119">
      <w:pPr>
        <w:jc w:val="both"/>
      </w:pPr>
      <w:r>
        <w:t>Furthermore, fiscal authority of local government and its capacities to raise revenues were seriously undermined following the legal interventions in the local Tax System Law in 2009. All these factors, coupled with the onset of the economic crisis, created all the preconditions for poor budget performance (and poor compliance as opposed to revenue forecast).</w:t>
      </w:r>
    </w:p>
    <w:p w14:paraId="74DE11A0" w14:textId="77777777" w:rsidR="006E5119" w:rsidRPr="002D4830" w:rsidRDefault="006E5119" w:rsidP="006E5119">
      <w:pPr>
        <w:jc w:val="both"/>
      </w:pPr>
      <w:r w:rsidRPr="002D4830">
        <w:t>However, fiscal discipline at the local level needs to be strengthened. Local governments intentionally plan for higher revenues than what is realistically achievable in order to be able to incur expenditures. The only fiscal rule applicable to local budgets is the need for a balanced budget (no deficit). Hence, Mayors and local administrations adopt an overly optimistic stance by incurring expenditures ahead of revenue realization. As there is no commitment accounting system in Albania, this approach creates a de facto deficit in the form of hidden arrears that are carried over for years.</w:t>
      </w:r>
    </w:p>
    <w:p w14:paraId="06572888" w14:textId="77777777" w:rsidR="006E5119" w:rsidRDefault="006E5119" w:rsidP="006E5119">
      <w:pPr>
        <w:jc w:val="both"/>
      </w:pPr>
      <w:r w:rsidRPr="002D4830">
        <w:t xml:space="preserve">Table 11 indicates the actual data for planned and actual revenues in one of the </w:t>
      </w:r>
      <w:proofErr w:type="spellStart"/>
      <w:r w:rsidRPr="002D4830">
        <w:t>DLDP</w:t>
      </w:r>
      <w:proofErr w:type="spellEnd"/>
      <w:r w:rsidRPr="002D4830">
        <w:t xml:space="preserve"> pilot municipalities</w:t>
      </w:r>
      <w:r w:rsidRPr="002D4830">
        <w:rPr>
          <w:rStyle w:val="FootnoteReference"/>
        </w:rPr>
        <w:footnoteReference w:id="18"/>
      </w:r>
      <w:r w:rsidRPr="002D4830">
        <w:t>. Collections from the small business tax were 40% short of the plan in both 2012 and 2013. Collections from the property tax were 50% short of plan in 2012 and 60% short of plan in 2013. It is clear from the data that no process of reflection took place among the staff; forecasts for the new budget 2013 were sometimes even more optimistic then for 2012 despite poor collection levels.</w:t>
      </w:r>
    </w:p>
    <w:tbl>
      <w:tblPr>
        <w:tblStyle w:val="TableGrid"/>
        <w:tblW w:w="0" w:type="auto"/>
        <w:tblBorders>
          <w:insideH w:val="none" w:sz="0" w:space="0" w:color="auto"/>
          <w:insideV w:val="none" w:sz="0" w:space="0" w:color="auto"/>
        </w:tblBorders>
        <w:shd w:val="clear" w:color="auto" w:fill="99CCFF"/>
        <w:tblLook w:val="04A0" w:firstRow="1" w:lastRow="0" w:firstColumn="1" w:lastColumn="0" w:noHBand="0" w:noVBand="1"/>
      </w:tblPr>
      <w:tblGrid>
        <w:gridCol w:w="9576"/>
      </w:tblGrid>
      <w:tr w:rsidR="002D4830" w14:paraId="0E48E239" w14:textId="77777777" w:rsidTr="00AB3799">
        <w:tc>
          <w:tcPr>
            <w:tcW w:w="9576" w:type="dxa"/>
            <w:shd w:val="clear" w:color="auto" w:fill="99CCFF"/>
          </w:tcPr>
          <w:p w14:paraId="63D22B9B" w14:textId="77777777" w:rsidR="00AB0AAB" w:rsidRDefault="00AB0AAB" w:rsidP="00AB0AAB">
            <w:pPr>
              <w:jc w:val="both"/>
              <w:rPr>
                <w:rFonts w:asciiTheme="majorHAnsi" w:hAnsiTheme="majorHAnsi"/>
                <w:b/>
                <w:color w:val="FFFFFF" w:themeColor="background1"/>
                <w:sz w:val="26"/>
                <w:szCs w:val="26"/>
              </w:rPr>
            </w:pPr>
            <w:bookmarkStart w:id="28" w:name="_Toc253791147"/>
          </w:p>
          <w:p w14:paraId="58BA9131" w14:textId="77777777" w:rsidR="002D4830" w:rsidRPr="00AB0AAB" w:rsidRDefault="002D4830" w:rsidP="00AB0AAB">
            <w:pPr>
              <w:jc w:val="both"/>
              <w:rPr>
                <w:rFonts w:asciiTheme="majorHAnsi" w:hAnsiTheme="majorHAnsi"/>
                <w:b/>
                <w:color w:val="FFFFFF" w:themeColor="background1"/>
                <w:sz w:val="26"/>
                <w:szCs w:val="26"/>
              </w:rPr>
            </w:pPr>
            <w:proofErr w:type="spellStart"/>
            <w:r w:rsidRPr="00AB0AAB">
              <w:rPr>
                <w:rFonts w:asciiTheme="majorHAnsi" w:hAnsiTheme="majorHAnsi"/>
                <w:b/>
                <w:color w:val="FFFFFF" w:themeColor="background1"/>
                <w:sz w:val="26"/>
                <w:szCs w:val="26"/>
              </w:rPr>
              <w:t>DLDP</w:t>
            </w:r>
            <w:proofErr w:type="spellEnd"/>
            <w:r w:rsidRPr="00AB0AAB">
              <w:rPr>
                <w:rFonts w:asciiTheme="majorHAnsi" w:hAnsiTheme="majorHAnsi"/>
                <w:b/>
                <w:color w:val="FFFFFF" w:themeColor="background1"/>
                <w:sz w:val="26"/>
                <w:szCs w:val="26"/>
              </w:rPr>
              <w:t xml:space="preserve"> response to strategic planning and budgeting</w:t>
            </w:r>
            <w:r w:rsidRPr="00AB0AAB">
              <w:rPr>
                <w:rFonts w:asciiTheme="majorHAnsi" w:hAnsiTheme="majorHAnsi"/>
                <w:b/>
                <w:color w:val="FFFFFF" w:themeColor="background1"/>
                <w:sz w:val="26"/>
                <w:szCs w:val="26"/>
              </w:rPr>
              <w:annotationRef/>
            </w:r>
            <w:bookmarkEnd w:id="28"/>
          </w:p>
          <w:p w14:paraId="0860EFF4" w14:textId="77777777" w:rsidR="002D4830" w:rsidRPr="002D4830" w:rsidRDefault="002D4830" w:rsidP="002D4830"/>
          <w:p w14:paraId="09E20D61" w14:textId="77777777" w:rsidR="002D4830" w:rsidRPr="002D4830" w:rsidRDefault="002D4830" w:rsidP="002D4830">
            <w:pPr>
              <w:jc w:val="both"/>
            </w:pPr>
            <w:proofErr w:type="spellStart"/>
            <w:r w:rsidRPr="002D4830">
              <w:t>DLDP</w:t>
            </w:r>
            <w:proofErr w:type="spellEnd"/>
            <w:r w:rsidRPr="002D4830">
              <w:t xml:space="preserve"> has concentrated a considerable part of its resources on assisting local units in the regions of </w:t>
            </w:r>
            <w:proofErr w:type="spellStart"/>
            <w:r w:rsidRPr="002D4830">
              <w:t>Shkodra</w:t>
            </w:r>
            <w:proofErr w:type="spellEnd"/>
            <w:r w:rsidRPr="002D4830">
              <w:t xml:space="preserve"> and </w:t>
            </w:r>
            <w:proofErr w:type="spellStart"/>
            <w:r w:rsidRPr="002D4830">
              <w:t>Lezha</w:t>
            </w:r>
            <w:proofErr w:type="spellEnd"/>
            <w:r w:rsidRPr="002D4830">
              <w:t xml:space="preserve"> improve their governance through strategic vision/strategic development plans; as well as policy/strategy based medium terms budgets. An innovative analytical tool (Financial Planning Tool) that enables more objective forecasts for purposes of strategic budget planning has complemented the package.</w:t>
            </w:r>
          </w:p>
          <w:p w14:paraId="4027FC62" w14:textId="77777777" w:rsidR="002D4830" w:rsidRPr="002D4830" w:rsidRDefault="002D4830" w:rsidP="002D4830">
            <w:pPr>
              <w:jc w:val="both"/>
            </w:pPr>
            <w:r w:rsidRPr="002D4830">
              <w:t xml:space="preserve">As the mid-term thematic evaluation for the </w:t>
            </w:r>
            <w:proofErr w:type="spellStart"/>
            <w:r w:rsidRPr="002D4830">
              <w:t>DLDP</w:t>
            </w:r>
            <w:proofErr w:type="spellEnd"/>
            <w:r w:rsidRPr="002D4830">
              <w:t xml:space="preserve"> </w:t>
            </w:r>
            <w:proofErr w:type="spellStart"/>
            <w:r w:rsidRPr="002D4830">
              <w:t>programme</w:t>
            </w:r>
            <w:proofErr w:type="spellEnd"/>
            <w:r w:rsidRPr="002D4830">
              <w:t xml:space="preserve"> also indicates, </w:t>
            </w:r>
            <w:proofErr w:type="spellStart"/>
            <w:r w:rsidRPr="002D4830">
              <w:t>DLDP</w:t>
            </w:r>
            <w:proofErr w:type="spellEnd"/>
            <w:r w:rsidRPr="002D4830">
              <w:t xml:space="preserve"> has largely achieved its objectives in this programmatic area; thus assisting local governments strategic thinking and resource </w:t>
            </w:r>
            <w:r w:rsidRPr="002D4830">
              <w:lastRenderedPageBreak/>
              <w:t>allocation processes.</w:t>
            </w:r>
          </w:p>
          <w:p w14:paraId="590A13A4" w14:textId="77777777" w:rsidR="002D4830" w:rsidRPr="003C4775" w:rsidRDefault="002D4830" w:rsidP="002D4830">
            <w:pPr>
              <w:jc w:val="both"/>
            </w:pPr>
            <w:r w:rsidRPr="002D4830">
              <w:t xml:space="preserve">However, the entry point for </w:t>
            </w:r>
            <w:proofErr w:type="spellStart"/>
            <w:r w:rsidRPr="002D4830">
              <w:t>DLDP’s</w:t>
            </w:r>
            <w:proofErr w:type="spellEnd"/>
            <w:r w:rsidRPr="002D4830">
              <w:t xml:space="preserve"> assistance was on the input or planning side of the exercise until now. Whereas public entities in Albania perform well in terms of quality of strategic documents, implementation in practice brings about serious discrepancies in actual budget data as opposed to the plan (See also Albania </w:t>
            </w:r>
            <w:proofErr w:type="spellStart"/>
            <w:r w:rsidRPr="002D4830">
              <w:t>PEFA</w:t>
            </w:r>
            <w:proofErr w:type="spellEnd"/>
            <w:r w:rsidRPr="002D4830">
              <w:t xml:space="preserve"> 2012 for the national level). In an extremely politicized and closed environment in which some local governments operate; efficiency considerations are not necessarily the primary drivers for choices made. Hence, although capacities may have been build in the area of budget planning, more work needs to be done to increase accountability of policymakers – Mayors and city councils – towards their constituencies. On the technical side, it is imperative that </w:t>
            </w:r>
            <w:proofErr w:type="spellStart"/>
            <w:r w:rsidRPr="002D4830">
              <w:t>DLDP</w:t>
            </w:r>
            <w:proofErr w:type="spellEnd"/>
            <w:r w:rsidRPr="002D4830">
              <w:t xml:space="preserve"> starts working with budget execution</w:t>
            </w:r>
            <w:r w:rsidRPr="002D4830">
              <w:rPr>
                <w:strike/>
              </w:rPr>
              <w:t>,</w:t>
            </w:r>
            <w:r w:rsidRPr="002D4830">
              <w:t xml:space="preserve"> in order to identify the actual challenges, improve financial management practices as well as assist local governments comply as best as possible. Lessons will be learnt from any intervention on the execution (output) side of the budget. Later on, these lessons can be shared with the Ministry of Finance and other shareholders in order to initiate a discussion on whether more fiscal rules should be imposed on the local budget.</w:t>
            </w:r>
          </w:p>
          <w:p w14:paraId="72A064D3" w14:textId="77777777" w:rsidR="002D4830" w:rsidRDefault="002D4830" w:rsidP="006E5119">
            <w:pPr>
              <w:keepNext/>
              <w:spacing w:before="120"/>
              <w:jc w:val="both"/>
            </w:pPr>
          </w:p>
        </w:tc>
      </w:tr>
    </w:tbl>
    <w:p w14:paraId="1D1B6A05" w14:textId="77777777" w:rsidR="006E5119" w:rsidRDefault="006E5119" w:rsidP="00AB0AAB">
      <w:pPr>
        <w:jc w:val="both"/>
      </w:pPr>
    </w:p>
    <w:p w14:paraId="3FBEF5F8" w14:textId="77777777" w:rsidR="006E5119" w:rsidRPr="005A1452" w:rsidRDefault="006E5119" w:rsidP="00AB0AAB">
      <w:pPr>
        <w:jc w:val="both"/>
      </w:pPr>
    </w:p>
    <w:p w14:paraId="1BEEEEC2" w14:textId="77777777" w:rsidR="006E5119" w:rsidRPr="00F31385" w:rsidRDefault="006E5119" w:rsidP="006E5119">
      <w:pPr>
        <w:pStyle w:val="Heading1"/>
        <w:pageBreakBefore/>
        <w:jc w:val="both"/>
        <w:rPr>
          <w:rFonts w:asciiTheme="minorHAnsi" w:hAnsiTheme="minorHAnsi"/>
        </w:rPr>
      </w:pPr>
      <w:bookmarkStart w:id="29" w:name="_Toc253791352"/>
      <w:r>
        <w:rPr>
          <w:rFonts w:asciiTheme="minorHAnsi" w:hAnsiTheme="minorHAnsi"/>
        </w:rPr>
        <w:lastRenderedPageBreak/>
        <w:t>7</w:t>
      </w:r>
      <w:r w:rsidR="002D4830">
        <w:rPr>
          <w:rFonts w:asciiTheme="minorHAnsi" w:hAnsiTheme="minorHAnsi"/>
        </w:rPr>
        <w:t xml:space="preserve"> Conclusions/R</w:t>
      </w:r>
      <w:r w:rsidRPr="00F31385">
        <w:rPr>
          <w:rFonts w:asciiTheme="minorHAnsi" w:hAnsiTheme="minorHAnsi"/>
        </w:rPr>
        <w:t>ecommendations</w:t>
      </w:r>
      <w:bookmarkEnd w:id="29"/>
    </w:p>
    <w:p w14:paraId="384A3CC7" w14:textId="77777777" w:rsidR="006E5119" w:rsidRDefault="006E5119" w:rsidP="006E5119">
      <w:pPr>
        <w:jc w:val="both"/>
        <w:rPr>
          <w:rFonts w:cs="Times New Roman"/>
          <w:b/>
          <w:color w:val="000000"/>
        </w:rPr>
      </w:pPr>
    </w:p>
    <w:p w14:paraId="130A6FE5" w14:textId="77777777" w:rsidR="006E5119" w:rsidRPr="009D09C4" w:rsidRDefault="006E5119" w:rsidP="00AB3799">
      <w:pPr>
        <w:pStyle w:val="TOC2"/>
        <w:rPr>
          <w:lang w:val="en-GB"/>
        </w:rPr>
      </w:pPr>
      <w:r w:rsidRPr="009C0E06">
        <w:t xml:space="preserve">Overall, the fundamentals upon which the Albanian intergovernmental finance and transfer system is build comply with the general </w:t>
      </w:r>
      <w:r w:rsidRPr="002D4830">
        <w:t xml:space="preserve">accepted good practice principles. </w:t>
      </w:r>
      <w:r w:rsidRPr="002D4830">
        <w:rPr>
          <w:lang w:val="en-GB"/>
        </w:rPr>
        <w:t xml:space="preserve">The legislators ensured adequate </w:t>
      </w:r>
      <w:r w:rsidRPr="002D4830">
        <w:rPr>
          <w:b/>
          <w:i/>
          <w:lang w:val="en-GB"/>
        </w:rPr>
        <w:t>autonomy</w:t>
      </w:r>
      <w:r w:rsidRPr="002D4830">
        <w:rPr>
          <w:lang w:val="en-GB"/>
        </w:rPr>
        <w:t xml:space="preserve"> for local governments by granting them a mix of discretionary funding composed of locally derived tax revenues as well as general purpose transfers.</w:t>
      </w:r>
    </w:p>
    <w:p w14:paraId="12735041" w14:textId="77777777" w:rsidR="006E5119" w:rsidRPr="007726F7" w:rsidRDefault="006E5119" w:rsidP="00AB3799">
      <w:pPr>
        <w:pStyle w:val="TOC2"/>
        <w:rPr>
          <w:lang w:val="en-GB"/>
        </w:rPr>
      </w:pPr>
      <w:r w:rsidRPr="009C0E06">
        <w:t xml:space="preserve">A system of national shared taxes has yet to be established. The 2000 Local government Law indicate the Personal Income Tax and the Corporate Income Tax as possible taxes that could be shared between the levels of government. </w:t>
      </w:r>
      <w:r w:rsidR="002D4830">
        <w:rPr>
          <w:lang w:val="en-GB"/>
        </w:rPr>
        <w:t>However, studies</w:t>
      </w:r>
      <w:r w:rsidRPr="007726F7">
        <w:rPr>
          <w:lang w:val="en-GB"/>
        </w:rPr>
        <w:t xml:space="preserve"> indicated that sharing of such taxes on a derivation basis would result in an inequitable system as more than 90% of these taxes are concentrated in a handful of bigger cities. </w:t>
      </w:r>
    </w:p>
    <w:p w14:paraId="6CDA7998" w14:textId="77777777" w:rsidR="006E5119" w:rsidRPr="007726F7" w:rsidRDefault="006E5119" w:rsidP="00AB3799">
      <w:pPr>
        <w:pStyle w:val="TOC2"/>
        <w:rPr>
          <w:lang w:val="en-GB"/>
        </w:rPr>
      </w:pPr>
      <w:r w:rsidRPr="009C0E06">
        <w:t xml:space="preserve">The system of intergovernmental transfers has a strong equalization component in order to achieve </w:t>
      </w:r>
      <w:r w:rsidRPr="009C0E06">
        <w:rPr>
          <w:b/>
          <w:i/>
        </w:rPr>
        <w:t>equity</w:t>
      </w:r>
      <w:r w:rsidRPr="009C0E06">
        <w:t xml:space="preserve"> objectives. The size of intergovernmental transfers is bigger for units with smaller tax potential, thus resulting in a more even dispersion of per capita revenues at the national level. </w:t>
      </w:r>
      <w:r w:rsidRPr="007726F7">
        <w:rPr>
          <w:b/>
          <w:i/>
          <w:lang w:val="en-GB"/>
        </w:rPr>
        <w:t>Efficiency</w:t>
      </w:r>
      <w:r w:rsidRPr="007726F7">
        <w:rPr>
          <w:lang w:val="en-GB"/>
        </w:rPr>
        <w:t xml:space="preserve"> considerations we</w:t>
      </w:r>
      <w:r>
        <w:rPr>
          <w:lang w:val="en-GB"/>
        </w:rPr>
        <w:t>re also</w:t>
      </w:r>
      <w:r w:rsidRPr="007726F7">
        <w:rPr>
          <w:lang w:val="en-GB"/>
        </w:rPr>
        <w:t xml:space="preserve"> taken into account: the general purpose grant introduces no restrictions or directions on sectorial allocation.</w:t>
      </w:r>
      <w:r>
        <w:rPr>
          <w:rStyle w:val="FootnoteReference"/>
          <w:iCs/>
        </w:rPr>
        <w:footnoteReference w:id="19"/>
      </w:r>
    </w:p>
    <w:p w14:paraId="1477ADF7" w14:textId="77777777" w:rsidR="006E5119" w:rsidRPr="007726F7" w:rsidRDefault="006E5119" w:rsidP="00AB3799">
      <w:pPr>
        <w:pStyle w:val="TOC2"/>
      </w:pPr>
      <w:r w:rsidRPr="009C0E06">
        <w:rPr>
          <w:b/>
          <w:i/>
          <w:lang w:val="en-US"/>
        </w:rPr>
        <w:t>Predictability</w:t>
      </w:r>
      <w:r w:rsidRPr="009C0E06">
        <w:rPr>
          <w:lang w:val="en-US"/>
        </w:rPr>
        <w:t xml:space="preserve"> of local revenues worsened during the recent years. </w:t>
      </w:r>
      <w:r w:rsidRPr="007726F7">
        <w:t xml:space="preserve">The unconditional transfer </w:t>
      </w:r>
      <w:proofErr w:type="gramStart"/>
      <w:r w:rsidRPr="007726F7">
        <w:t>pool  decreased</w:t>
      </w:r>
      <w:proofErr w:type="gramEnd"/>
      <w:r w:rsidRPr="007726F7">
        <w:t xml:space="preserve"> without prior notice; frequent changes to the </w:t>
      </w:r>
      <w:r w:rsidRPr="007F1D15">
        <w:t>local tax system were not consulted with stakeholders and the funding and criteria for the competitive grants were not made public well in advance. The unconditional transfer formula however contains some buffer provisions to protect local governments from dramatic changes in revenue (negative/positive transition</w:t>
      </w:r>
      <w:r w:rsidRPr="007726F7">
        <w:t xml:space="preserve"> criterion; minimum per capita guarantee). </w:t>
      </w:r>
    </w:p>
    <w:p w14:paraId="4E598604" w14:textId="77777777" w:rsidR="006E5119" w:rsidRPr="009C0E06" w:rsidRDefault="006E5119" w:rsidP="00AB3799">
      <w:pPr>
        <w:pStyle w:val="TOC2"/>
      </w:pPr>
      <w:r w:rsidRPr="009C0E06">
        <w:t xml:space="preserve">Another way to establish a tax sharing mechanism would be to link the size of the formula allocated unconditional grant pool to a fixed percentage of collections from a number of taxes. That would increase predictability. </w:t>
      </w:r>
    </w:p>
    <w:p w14:paraId="5B772483" w14:textId="77777777" w:rsidR="006E5119" w:rsidRPr="009C0E06" w:rsidRDefault="006E5119" w:rsidP="00AB3799">
      <w:pPr>
        <w:pStyle w:val="TOC2"/>
      </w:pPr>
      <w:r w:rsidRPr="009C0E06">
        <w:t xml:space="preserve">The system continues to lack </w:t>
      </w:r>
      <w:r w:rsidRPr="009C0E06">
        <w:rPr>
          <w:b/>
          <w:i/>
        </w:rPr>
        <w:t>transparency</w:t>
      </w:r>
      <w:r w:rsidRPr="009C0E06">
        <w:t xml:space="preserve">. Despite dramatic improvements through the allocation of the general purpose grant based on a (primarily) capitation formula; the criteria for the formula are not disseminated as widely and proactively as necessary. Furthermore, criteria have changed subtly but frequently over the years without providing clear justifications on the reasons and the desired outcomes. </w:t>
      </w:r>
    </w:p>
    <w:p w14:paraId="04C0A65C" w14:textId="77777777" w:rsidR="006E5119" w:rsidRPr="007726F7" w:rsidRDefault="006E5119" w:rsidP="00AB3799">
      <w:pPr>
        <w:pStyle w:val="TOC2"/>
        <w:rPr>
          <w:i/>
        </w:rPr>
      </w:pPr>
      <w:r w:rsidRPr="007726F7">
        <w:t xml:space="preserve">In terms of </w:t>
      </w:r>
      <w:r w:rsidRPr="007726F7">
        <w:rPr>
          <w:b/>
          <w:i/>
        </w:rPr>
        <w:t xml:space="preserve">Clarity in grant </w:t>
      </w:r>
      <w:r w:rsidRPr="007F1D15">
        <w:rPr>
          <w:b/>
          <w:i/>
        </w:rPr>
        <w:t>objectives,</w:t>
      </w:r>
      <w:r w:rsidRPr="007F1D15">
        <w:rPr>
          <w:i/>
        </w:rPr>
        <w:t xml:space="preserve"> </w:t>
      </w:r>
      <w:r w:rsidRPr="007F1D15">
        <w:t>there is an improvement with the introduction of the competitive grant/Regional development Fund Mechanisms. However, allocation criteria are still too general to be objective, and the allocation mechanisms does not seem to be efficient.</w:t>
      </w:r>
      <w:r w:rsidRPr="007726F7">
        <w:t xml:space="preserve"> </w:t>
      </w:r>
    </w:p>
    <w:p w14:paraId="6DBAD90E" w14:textId="77777777" w:rsidR="006E5119" w:rsidRPr="00E177A6" w:rsidRDefault="006E5119" w:rsidP="00AB3799">
      <w:pPr>
        <w:pStyle w:val="TOC2"/>
        <w:rPr>
          <w:i/>
        </w:rPr>
      </w:pPr>
      <w:r w:rsidRPr="009C0E06">
        <w:rPr>
          <w:b/>
          <w:i/>
          <w:lang w:val="en-US"/>
        </w:rPr>
        <w:lastRenderedPageBreak/>
        <w:t xml:space="preserve">Revenue adequacy </w:t>
      </w:r>
      <w:r w:rsidRPr="009C0E06">
        <w:rPr>
          <w:lang w:val="en-US"/>
        </w:rPr>
        <w:t xml:space="preserve">is difficult to assess. </w:t>
      </w:r>
      <w:r w:rsidRPr="007726F7">
        <w:t xml:space="preserve">Although the </w:t>
      </w:r>
      <w:r w:rsidRPr="007F1D15">
        <w:t>vertical (</w:t>
      </w:r>
      <w:proofErr w:type="spellStart"/>
      <w:proofErr w:type="gramStart"/>
      <w:r w:rsidRPr="007F1D15">
        <w:t>im</w:t>
      </w:r>
      <w:proofErr w:type="spellEnd"/>
      <w:r w:rsidRPr="007F1D15">
        <w:t>)balance</w:t>
      </w:r>
      <w:proofErr w:type="gramEnd"/>
      <w:r w:rsidRPr="007F1D15">
        <w:t xml:space="preserve"> increased in the last five years; it was established that local governments still have he reserves and they do not exploit their full potential for locally raising revenues. </w:t>
      </w:r>
      <w:r w:rsidRPr="007F1D15">
        <w:rPr>
          <w:lang w:val="en-US"/>
        </w:rPr>
        <w:t xml:space="preserve">Designated responsibilities at the local level are primarily urban services that should be financed through service fees. Social functions such as social protection or payment of education salaries are financed through the state budget. Other than urban services, maintenance of pre-university education facilities is about the only “social” function performed locally. In similar circumstances, equity considerations become </w:t>
      </w:r>
      <w:r w:rsidRPr="007F1D15">
        <w:rPr>
          <w:rFonts w:eastAsiaTheme="minorHAnsi" w:cs="Times New Roman"/>
          <w:color w:val="000000"/>
          <w:lang w:val="en-US"/>
        </w:rPr>
        <w:t>less</w:t>
      </w:r>
      <w:r w:rsidRPr="007F1D15">
        <w:rPr>
          <w:lang w:val="en-US"/>
        </w:rPr>
        <w:t xml:space="preserve"> important and it may be arguable that the majority of resources should go to local units that need them most (with the most population, most economic activity) and are able to create value added around those resources. </w:t>
      </w:r>
      <w:r w:rsidRPr="007F1D15">
        <w:t>As long as information on standard service costs of local governments in general are missing as well as on factors causing higher or lower than average costs in individual local governments, it is difficult to determine the adequate level of local funding.</w:t>
      </w:r>
    </w:p>
    <w:p w14:paraId="3425F2C9" w14:textId="77777777" w:rsidR="006E5119" w:rsidRPr="009C0E06" w:rsidRDefault="006E5119" w:rsidP="00AB3799">
      <w:pPr>
        <w:pStyle w:val="TOC2"/>
      </w:pPr>
      <w:r w:rsidRPr="009C0E06">
        <w:rPr>
          <w:b/>
        </w:rPr>
        <w:t xml:space="preserve">Tax administration: </w:t>
      </w:r>
      <w:r w:rsidRPr="009C0E06">
        <w:t xml:space="preserve">there is an urgent need to improve tax administration systems; including creation and updating of taxpayers databases and billing systems. The current share of households in local tax revenues is less than 15% in average, whereas burden for services i.e. waste collection is around 60%. </w:t>
      </w:r>
      <w:r w:rsidRPr="00215A49">
        <w:rPr>
          <w:lang w:val="en-GB"/>
        </w:rPr>
        <w:t xml:space="preserve">Local governments have not </w:t>
      </w:r>
      <w:r w:rsidR="007F1D15">
        <w:rPr>
          <w:lang w:val="en-GB"/>
        </w:rPr>
        <w:t xml:space="preserve">made serious efforts to enforce taxes on </w:t>
      </w:r>
      <w:r w:rsidRPr="00215A49">
        <w:rPr>
          <w:lang w:val="en-GB"/>
        </w:rPr>
        <w:t>households</w:t>
      </w:r>
      <w:r w:rsidR="007F1D15">
        <w:rPr>
          <w:lang w:val="en-GB"/>
        </w:rPr>
        <w:t xml:space="preserve">, as </w:t>
      </w:r>
      <w:proofErr w:type="gramStart"/>
      <w:r w:rsidR="007F1D15">
        <w:rPr>
          <w:lang w:val="en-GB"/>
        </w:rPr>
        <w:t xml:space="preserve">administration </w:t>
      </w:r>
      <w:r w:rsidRPr="00215A49">
        <w:rPr>
          <w:lang w:val="en-GB"/>
        </w:rPr>
        <w:t xml:space="preserve"> is</w:t>
      </w:r>
      <w:proofErr w:type="gramEnd"/>
      <w:r w:rsidRPr="00215A49">
        <w:rPr>
          <w:lang w:val="en-GB"/>
        </w:rPr>
        <w:t xml:space="preserve"> much more complicated in this case. </w:t>
      </w:r>
      <w:r w:rsidRPr="009C0E06">
        <w:t xml:space="preserve">However, the clear identification of taxpayers for general tax purposes is a one time exercise that is likely to pay off. Furthermore, local governments are making increased use of tax agents (such as water utilities) to collect taxes on their behalf. </w:t>
      </w:r>
    </w:p>
    <w:p w14:paraId="2EDFD6DF" w14:textId="77777777" w:rsidR="006E5119" w:rsidRPr="009C0E06" w:rsidRDefault="006E5119" w:rsidP="00AB3799">
      <w:pPr>
        <w:pStyle w:val="TOC2"/>
      </w:pPr>
      <w:r w:rsidRPr="009C0E06">
        <w:rPr>
          <w:b/>
          <w:i/>
        </w:rPr>
        <w:t xml:space="preserve">Service cost </w:t>
      </w:r>
      <w:r w:rsidRPr="009C0E06">
        <w:t>recovery</w:t>
      </w:r>
      <w:r w:rsidRPr="009C0E06">
        <w:rPr>
          <w:b/>
          <w:i/>
        </w:rPr>
        <w:t xml:space="preserve">: </w:t>
      </w:r>
      <w:r w:rsidRPr="009C0E06">
        <w:t xml:space="preserve">Cross-subsidies of general public services are no longer viable as these result in efficiency losses overall. Instead, local government should focus on elaborating their cost and tariff calculation methodologies. </w:t>
      </w:r>
      <w:proofErr w:type="spellStart"/>
      <w:r w:rsidRPr="009C0E06">
        <w:t>DLDP</w:t>
      </w:r>
      <w:proofErr w:type="spellEnd"/>
      <w:r w:rsidRPr="009C0E06">
        <w:t xml:space="preserve"> could continue its work to mainstream the methodology at the central level.</w:t>
      </w:r>
    </w:p>
    <w:p w14:paraId="5C42F849" w14:textId="77777777" w:rsidR="006E5119" w:rsidRPr="009C0E06" w:rsidRDefault="006E5119" w:rsidP="00AB3799">
      <w:pPr>
        <w:pStyle w:val="TOC2"/>
        <w:rPr>
          <w:b/>
          <w:i/>
        </w:rPr>
      </w:pPr>
      <w:r w:rsidRPr="009C0E06">
        <w:rPr>
          <w:b/>
          <w:i/>
        </w:rPr>
        <w:t xml:space="preserve">Shared taxes: </w:t>
      </w:r>
      <w:r w:rsidRPr="009C0E06">
        <w:t>There is much argument among practitioners around the introduction of shared taxes. It would in theory be a very positive move. However, the exact mechanism for the sharing should be worked out as there is very high concentration of revenues from the designated resources (PIT and CIT) in Tirana and few other larger cities. Sharing on a derivation basis would increase inequalities. Another option would be to link the size of the intergovernmental pool to a percentage of collections from shared taxes. Anyhow, it is to be expected that if shared taxes will be introduced, the amount of the unconditional grants will be reduced by a comparable amount.</w:t>
      </w:r>
    </w:p>
    <w:p w14:paraId="103BE91B" w14:textId="77777777" w:rsidR="006E5119" w:rsidRPr="009C0E06" w:rsidRDefault="006E5119" w:rsidP="00AB3799">
      <w:pPr>
        <w:pStyle w:val="TOC2"/>
      </w:pPr>
      <w:r w:rsidRPr="009C0E06">
        <w:rPr>
          <w:b/>
          <w:i/>
        </w:rPr>
        <w:t>Intergovernmental transfers:</w:t>
      </w:r>
      <w:r w:rsidRPr="009C0E06">
        <w:t xml:space="preserve"> The current system of the unconditional transfer formula has its own merits</w:t>
      </w:r>
      <w:r>
        <w:rPr>
          <w:rStyle w:val="FootnoteReference"/>
          <w:rFonts w:eastAsiaTheme="minorHAnsi" w:cs="Times New Roman"/>
          <w:color w:val="000000"/>
        </w:rPr>
        <w:footnoteReference w:id="20"/>
      </w:r>
      <w:r w:rsidRPr="009C0E06">
        <w:t xml:space="preserve"> in achieving equalization. Indicators may need to be revised; and transparency increased. In order to have better estimates and increase the </w:t>
      </w:r>
      <w:r w:rsidRPr="009C0E06">
        <w:rPr>
          <w:b/>
          <w:i/>
        </w:rPr>
        <w:t>predictability of national transfers</w:t>
      </w:r>
      <w:r w:rsidRPr="009C0E06">
        <w:t xml:space="preserve"> to local governments, the total unconditional transfer pool may be linked with a fixed percentage of state budget specific revenues (e.g., tax revenues). </w:t>
      </w:r>
    </w:p>
    <w:p w14:paraId="656A6974" w14:textId="77777777" w:rsidR="006E5119" w:rsidRPr="007F1D15" w:rsidRDefault="006E5119" w:rsidP="00AB3799">
      <w:pPr>
        <w:pStyle w:val="TOC2"/>
      </w:pPr>
      <w:r w:rsidRPr="00215A49">
        <w:rPr>
          <w:b/>
        </w:rPr>
        <w:t xml:space="preserve">Budgeting process: </w:t>
      </w:r>
      <w:r w:rsidRPr="00215A49">
        <w:t xml:space="preserve">The increase in the total formula based unconditional pool does not automatically imply an equivalent increase of individual grants, given the </w:t>
      </w:r>
      <w:r w:rsidRPr="007F1D15">
        <w:t xml:space="preserve">equalization and compensation system instituted in the formula, even if criteria are maintained unchanged – results should be communicated </w:t>
      </w:r>
      <w:r w:rsidRPr="007F1D15">
        <w:lastRenderedPageBreak/>
        <w:t xml:space="preserve">to </w:t>
      </w:r>
      <w:proofErr w:type="spellStart"/>
      <w:r w:rsidRPr="007F1D15">
        <w:t>LGs</w:t>
      </w:r>
      <w:proofErr w:type="spellEnd"/>
      <w:r w:rsidRPr="007F1D15">
        <w:t xml:space="preserve"> in advance </w:t>
      </w:r>
      <w:r w:rsidRPr="000C32FB">
        <w:t>of</w:t>
      </w:r>
      <w:r w:rsidRPr="007F1D15">
        <w:t xml:space="preserve"> budget year. Changes in tax policy and other legislation affecting local government should also be communicated to local government through the </w:t>
      </w:r>
      <w:proofErr w:type="spellStart"/>
      <w:r w:rsidRPr="007F1D15">
        <w:t>MTBP</w:t>
      </w:r>
      <w:proofErr w:type="spellEnd"/>
      <w:r w:rsidRPr="007F1D15">
        <w:t xml:space="preserve"> and other appropriate channels early enough. This has not happened in the recent years, due to a high volatility in national and local fiscal policy.</w:t>
      </w:r>
    </w:p>
    <w:p w14:paraId="3E5C6D45" w14:textId="77777777" w:rsidR="006E5119" w:rsidRPr="007F1D15" w:rsidRDefault="006E5119" w:rsidP="00AB3799">
      <w:pPr>
        <w:pStyle w:val="TOC2"/>
        <w:rPr>
          <w:b/>
          <w:i/>
        </w:rPr>
      </w:pPr>
      <w:r w:rsidRPr="007F1D15">
        <w:rPr>
          <w:b/>
          <w:i/>
        </w:rPr>
        <w:t xml:space="preserve">Budget compliance: </w:t>
      </w:r>
      <w:r w:rsidRPr="007F1D15">
        <w:t>More work needs to be done in order to increase accountability of local administrations towards their constituencies. On the one hand, this would entail work to strengthen their capacities for budget execution and monitoring, on the other hand it could necessitate work with central authorities to impose stricter fiscal rules on local budgets.</w:t>
      </w:r>
    </w:p>
    <w:p w14:paraId="7AD8B9A5" w14:textId="77777777" w:rsidR="006E5119" w:rsidRPr="007F1D15" w:rsidRDefault="006E5119" w:rsidP="00AB3799">
      <w:pPr>
        <w:pStyle w:val="TOC2"/>
      </w:pPr>
      <w:r w:rsidRPr="007F1D15">
        <w:rPr>
          <w:b/>
          <w:i/>
        </w:rPr>
        <w:t xml:space="preserve">Taxpayer education </w:t>
      </w:r>
      <w:r w:rsidRPr="007F1D15">
        <w:t>and increased transparency of administration are crucial preconditions to the success of any tax policy.</w:t>
      </w:r>
    </w:p>
    <w:p w14:paraId="6756D704" w14:textId="77777777" w:rsidR="006E5119" w:rsidRPr="007F1D15" w:rsidRDefault="006E5119" w:rsidP="007F1D15">
      <w:pPr>
        <w:jc w:val="both"/>
      </w:pPr>
    </w:p>
    <w:p w14:paraId="098399D6" w14:textId="77777777" w:rsidR="006E5119" w:rsidRDefault="006E5119" w:rsidP="00AB3799">
      <w:pPr>
        <w:pStyle w:val="TOC2"/>
        <w:rPr>
          <w:b/>
          <w:i/>
          <w:lang w:val="en-US"/>
        </w:rPr>
      </w:pPr>
      <w:r w:rsidRPr="007F1D15">
        <w:rPr>
          <w:rFonts w:eastAsiaTheme="minorHAnsi" w:cs="Times New Roman"/>
          <w:b/>
          <w:i/>
          <w:color w:val="000000"/>
          <w:lang w:val="en-US"/>
        </w:rPr>
        <w:t>Territorial</w:t>
      </w:r>
      <w:r w:rsidRPr="007F1D15">
        <w:rPr>
          <w:b/>
          <w:i/>
          <w:lang w:val="en-US"/>
        </w:rPr>
        <w:t xml:space="preserve"> reform. </w:t>
      </w:r>
      <w:r w:rsidRPr="007F1D15">
        <w:t xml:space="preserve">The government has announced its intention to go forward with the process of the reorganization of the administrative and territorial division of local governments within 2014. </w:t>
      </w:r>
      <w:r w:rsidRPr="007F1D15">
        <w:rPr>
          <w:lang w:val="en-US"/>
        </w:rPr>
        <w:t>A new configuration of local governments could warrant a complete revision of their functions and relative system of financing.</w:t>
      </w:r>
      <w:r w:rsidRPr="009C0E06">
        <w:rPr>
          <w:lang w:val="en-US"/>
        </w:rPr>
        <w:t xml:space="preserve"> </w:t>
      </w:r>
    </w:p>
    <w:p w14:paraId="18B15101" w14:textId="77777777" w:rsidR="006E5119" w:rsidRPr="00231B9B" w:rsidRDefault="006E5119" w:rsidP="006E5119">
      <w:pPr>
        <w:tabs>
          <w:tab w:val="left" w:pos="2432"/>
        </w:tabs>
        <w:rPr>
          <w:lang w:val="de-CH"/>
        </w:rPr>
      </w:pPr>
      <w:r>
        <w:rPr>
          <w:lang w:val="de-CH"/>
        </w:rPr>
        <w:tab/>
      </w:r>
    </w:p>
    <w:p w14:paraId="6E4265A4" w14:textId="77777777" w:rsidR="000C32FB" w:rsidRDefault="000C32FB">
      <w:pPr>
        <w:sectPr w:rsidR="000C32FB" w:rsidSect="002D4830">
          <w:pgSz w:w="12240" w:h="15840"/>
          <w:pgMar w:top="1440" w:right="1440" w:bottom="1440" w:left="1440" w:header="720" w:footer="720" w:gutter="0"/>
          <w:cols w:space="720"/>
          <w:docGrid w:linePitch="360"/>
          <w:printerSettings r:id="rId18"/>
        </w:sectPr>
      </w:pPr>
    </w:p>
    <w:p w14:paraId="657D57EC" w14:textId="7A8F7E45" w:rsidR="005814B9" w:rsidRPr="000C32FB" w:rsidRDefault="000C32FB" w:rsidP="000C32FB">
      <w:pPr>
        <w:pStyle w:val="Heading1"/>
        <w:pageBreakBefore/>
        <w:jc w:val="both"/>
        <w:rPr>
          <w:rFonts w:asciiTheme="minorHAnsi" w:hAnsiTheme="minorHAnsi"/>
        </w:rPr>
      </w:pPr>
      <w:bookmarkStart w:id="30" w:name="_Toc253791149"/>
      <w:bookmarkStart w:id="31" w:name="_Toc253791353"/>
      <w:r w:rsidRPr="000C32FB">
        <w:rPr>
          <w:rFonts w:asciiTheme="minorHAnsi" w:hAnsiTheme="minorHAnsi"/>
        </w:rPr>
        <w:lastRenderedPageBreak/>
        <w:t>References:</w:t>
      </w:r>
      <w:bookmarkEnd w:id="30"/>
      <w:bookmarkEnd w:id="31"/>
    </w:p>
    <w:p w14:paraId="63C5855B" w14:textId="77777777" w:rsidR="000C32FB" w:rsidRDefault="000C32FB" w:rsidP="000C32FB">
      <w:pPr>
        <w:pStyle w:val="FootnoteText"/>
        <w:rPr>
          <w:rFonts w:asciiTheme="minorHAnsi" w:eastAsiaTheme="minorHAnsi" w:hAnsiTheme="minorHAnsi" w:cstheme="minorBidi"/>
          <w:sz w:val="22"/>
          <w:szCs w:val="22"/>
        </w:rPr>
      </w:pPr>
    </w:p>
    <w:p w14:paraId="66F3C3CA" w14:textId="77777777" w:rsidR="00F45154" w:rsidRDefault="00F45154" w:rsidP="000C32FB">
      <w:pPr>
        <w:pStyle w:val="TOC2"/>
      </w:pPr>
      <w:proofErr w:type="spellStart"/>
      <w:r>
        <w:t>Albania</w:t>
      </w:r>
      <w:proofErr w:type="spellEnd"/>
      <w:r>
        <w:t xml:space="preserve"> Local Finance Policy Note, The World Bank, 2008</w:t>
      </w:r>
    </w:p>
    <w:p w14:paraId="30AB0A14" w14:textId="77777777" w:rsidR="00F45154" w:rsidRPr="000C32FB" w:rsidRDefault="00F45154" w:rsidP="000C32FB">
      <w:pPr>
        <w:pStyle w:val="TOC2"/>
      </w:pPr>
      <w:proofErr w:type="spellStart"/>
      <w:r w:rsidRPr="000C32FB">
        <w:t>Discussions</w:t>
      </w:r>
      <w:proofErr w:type="spellEnd"/>
      <w:r w:rsidRPr="000C32FB">
        <w:t> on Changed Context and Trends in Fiscal Decentralization in South-East Europe</w:t>
      </w:r>
      <w:r>
        <w:t xml:space="preserve">, </w:t>
      </w:r>
      <w:proofErr w:type="spellStart"/>
      <w:r>
        <w:t>NALAS</w:t>
      </w:r>
      <w:proofErr w:type="spellEnd"/>
      <w:r>
        <w:t xml:space="preserve">, 2013 </w:t>
      </w:r>
      <w:hyperlink r:id="rId19" w:history="1">
        <w:r w:rsidRPr="000C32FB">
          <w:t>http://www.nalas.eu/fd/index.aspx</w:t>
        </w:r>
      </w:hyperlink>
      <w:r>
        <w:t xml:space="preserve"> </w:t>
      </w:r>
    </w:p>
    <w:p w14:paraId="2CAE781C" w14:textId="77777777" w:rsidR="00F45154" w:rsidRPr="000C32FB" w:rsidRDefault="00F45154" w:rsidP="000C32FB">
      <w:pPr>
        <w:pStyle w:val="TOC2"/>
      </w:pPr>
      <w:proofErr w:type="spellStart"/>
      <w:r>
        <w:t>Intergovernmental</w:t>
      </w:r>
      <w:proofErr w:type="spellEnd"/>
      <w:r>
        <w:t xml:space="preserve"> </w:t>
      </w:r>
      <w:proofErr w:type="spellStart"/>
      <w:r>
        <w:t>Fiscal</w:t>
      </w:r>
      <w:proofErr w:type="spellEnd"/>
      <w:r>
        <w:t xml:space="preserve"> Transfers, </w:t>
      </w:r>
      <w:proofErr w:type="spellStart"/>
      <w:r>
        <w:t>edited</w:t>
      </w:r>
      <w:proofErr w:type="spellEnd"/>
      <w:r>
        <w:t xml:space="preserve"> </w:t>
      </w:r>
      <w:proofErr w:type="spellStart"/>
      <w:r>
        <w:t>by</w:t>
      </w:r>
      <w:proofErr w:type="spellEnd"/>
      <w:r>
        <w:t xml:space="preserve"> </w:t>
      </w:r>
      <w:proofErr w:type="spellStart"/>
      <w:r>
        <w:t>Boadway</w:t>
      </w:r>
      <w:proofErr w:type="spellEnd"/>
      <w:r>
        <w:t>, Shah; The World Bank</w:t>
      </w:r>
    </w:p>
    <w:p w14:paraId="3C4291A7" w14:textId="77777777" w:rsidR="00F45154" w:rsidRPr="004F244F" w:rsidRDefault="00F45154" w:rsidP="000C32FB">
      <w:pPr>
        <w:pStyle w:val="TOC2"/>
      </w:pPr>
      <w:proofErr w:type="spellStart"/>
      <w:r w:rsidRPr="004F244F">
        <w:t>Local</w:t>
      </w:r>
      <w:proofErr w:type="spellEnd"/>
      <w:r w:rsidRPr="004F244F">
        <w:t xml:space="preserve"> </w:t>
      </w:r>
      <w:proofErr w:type="spellStart"/>
      <w:r w:rsidRPr="004F244F">
        <w:t>Government</w:t>
      </w:r>
      <w:proofErr w:type="spellEnd"/>
      <w:r w:rsidRPr="004F244F">
        <w:t xml:space="preserve"> </w:t>
      </w:r>
      <w:proofErr w:type="spellStart"/>
      <w:r w:rsidRPr="004F244F">
        <w:t>Taxes</w:t>
      </w:r>
      <w:proofErr w:type="spellEnd"/>
      <w:r w:rsidRPr="004F244F">
        <w:t xml:space="preserve">, </w:t>
      </w:r>
      <w:proofErr w:type="spellStart"/>
      <w:r w:rsidRPr="004F244F">
        <w:t>Fees</w:t>
      </w:r>
      <w:proofErr w:type="spellEnd"/>
      <w:r w:rsidRPr="004F244F">
        <w:t xml:space="preserve"> </w:t>
      </w:r>
      <w:proofErr w:type="spellStart"/>
      <w:r w:rsidRPr="004F244F">
        <w:t>and</w:t>
      </w:r>
      <w:proofErr w:type="spellEnd"/>
      <w:r w:rsidRPr="004F244F">
        <w:t xml:space="preserve"> </w:t>
      </w:r>
      <w:proofErr w:type="spellStart"/>
      <w:r w:rsidRPr="004F244F">
        <w:t>Charges</w:t>
      </w:r>
      <w:proofErr w:type="spellEnd"/>
      <w:r w:rsidRPr="004F244F">
        <w:t xml:space="preserve"> in </w:t>
      </w:r>
      <w:proofErr w:type="spellStart"/>
      <w:r w:rsidRPr="004F244F">
        <w:t>Albania</w:t>
      </w:r>
      <w:proofErr w:type="spellEnd"/>
      <w:r w:rsidRPr="004F244F">
        <w:t>:</w:t>
      </w:r>
      <w:r>
        <w:t xml:space="preserve"> </w:t>
      </w:r>
      <w:proofErr w:type="spellStart"/>
      <w:r w:rsidRPr="004F244F">
        <w:t>Current</w:t>
      </w:r>
      <w:proofErr w:type="spellEnd"/>
      <w:r w:rsidRPr="004F244F">
        <w:t xml:space="preserve"> </w:t>
      </w:r>
      <w:proofErr w:type="spellStart"/>
      <w:r w:rsidRPr="004F244F">
        <w:t>and</w:t>
      </w:r>
      <w:proofErr w:type="spellEnd"/>
      <w:r w:rsidRPr="004F244F">
        <w:t xml:space="preserve"> Future </w:t>
      </w:r>
      <w:proofErr w:type="spellStart"/>
      <w:r w:rsidRPr="004F244F">
        <w:t>Challenges</w:t>
      </w:r>
      <w:proofErr w:type="spellEnd"/>
      <w:r>
        <w:t xml:space="preserve">, </w:t>
      </w:r>
      <w:proofErr w:type="spellStart"/>
      <w:r>
        <w:t>SKl</w:t>
      </w:r>
      <w:proofErr w:type="spellEnd"/>
      <w:r>
        <w:t xml:space="preserve"> International/</w:t>
      </w:r>
      <w:proofErr w:type="spellStart"/>
      <w:r>
        <w:t>Albanian</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Communes</w:t>
      </w:r>
      <w:proofErr w:type="spellEnd"/>
      <w:r>
        <w:t>, 2010</w:t>
      </w:r>
    </w:p>
    <w:p w14:paraId="60DA9872" w14:textId="77777777" w:rsidR="00F45154" w:rsidRDefault="00F45154" w:rsidP="000C32FB">
      <w:pPr>
        <w:pStyle w:val="TOC2"/>
      </w:pPr>
      <w:r>
        <w:t xml:space="preserve">White Paper on Fiscal Decentralization in Albania, </w:t>
      </w:r>
      <w:proofErr w:type="spellStart"/>
      <w:r>
        <w:t>PLGP</w:t>
      </w:r>
      <w:proofErr w:type="spellEnd"/>
      <w:r>
        <w:t xml:space="preserve"> – </w:t>
      </w:r>
      <w:proofErr w:type="spellStart"/>
      <w:r>
        <w:t>USAID</w:t>
      </w:r>
      <w:proofErr w:type="spellEnd"/>
      <w:r>
        <w:t>, 2012</w:t>
      </w:r>
    </w:p>
    <w:p w14:paraId="79534A02" w14:textId="77777777" w:rsidR="000C32FB" w:rsidRPr="000C32FB" w:rsidRDefault="000C32FB" w:rsidP="000C32FB"/>
    <w:p w14:paraId="0D64982D" w14:textId="77777777" w:rsidR="000C32FB" w:rsidRDefault="000C32FB" w:rsidP="000C32FB"/>
    <w:sectPr w:rsidR="000C32FB" w:rsidSect="002D4830">
      <w:pgSz w:w="12240" w:h="15840"/>
      <w:pgMar w:top="1440" w:right="1440" w:bottom="1440" w:left="1440" w:header="720" w:footer="720" w:gutter="0"/>
      <w:cols w:space="720"/>
      <w:docGrid w:linePitch="360"/>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B23DD" w14:textId="77777777" w:rsidR="000C32FB" w:rsidRDefault="000C32FB">
      <w:pPr>
        <w:spacing w:after="0" w:line="240" w:lineRule="auto"/>
      </w:pPr>
      <w:r>
        <w:separator/>
      </w:r>
    </w:p>
  </w:endnote>
  <w:endnote w:type="continuationSeparator" w:id="0">
    <w:p w14:paraId="431BC68B" w14:textId="77777777" w:rsidR="000C32FB" w:rsidRDefault="000C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8417" w14:textId="77777777" w:rsidR="000C32FB" w:rsidRDefault="000C3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04823" w14:textId="77777777" w:rsidR="000C32FB" w:rsidRDefault="000C32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1B68A" w14:textId="77777777" w:rsidR="000C32FB" w:rsidRDefault="000C32FB">
    <w:pPr>
      <w:pStyle w:val="Footer"/>
      <w:pBdr>
        <w:top w:val="single" w:sz="4" w:space="1" w:color="auto"/>
      </w:pBdr>
      <w:tabs>
        <w:tab w:val="left" w:pos="8820"/>
      </w:tabs>
      <w:rPr>
        <w:sz w:val="18"/>
        <w:lang w:val="en-GB"/>
      </w:rPr>
    </w:pPr>
    <w:r>
      <w:rPr>
        <w:sz w:val="18"/>
        <w:lang w:val="en-GB"/>
      </w:rPr>
      <w:t>Revenue Predictability and Stability in Albania</w:t>
    </w:r>
    <w:r>
      <w:rPr>
        <w:sz w:val="18"/>
        <w:lang w:val="en-GB"/>
      </w:rPr>
      <w:tab/>
    </w:r>
    <w:r>
      <w:rPr>
        <w:sz w:val="18"/>
        <w:lang w:val="en-GB"/>
      </w:rPr>
      <w:tab/>
    </w:r>
    <w:r>
      <w:rPr>
        <w:rStyle w:val="PageNumber"/>
      </w:rPr>
      <w:fldChar w:fldCharType="begin"/>
    </w:r>
    <w:r>
      <w:rPr>
        <w:rStyle w:val="PageNumber"/>
        <w:lang w:val="en-GB"/>
      </w:rPr>
      <w:instrText xml:space="preserve"> PAGE </w:instrText>
    </w:r>
    <w:r>
      <w:rPr>
        <w:rStyle w:val="PageNumber"/>
      </w:rPr>
      <w:fldChar w:fldCharType="separate"/>
    </w:r>
    <w:r w:rsidR="00AB0AAB">
      <w:rPr>
        <w:rStyle w:val="PageNumber"/>
        <w:noProof/>
        <w:lang w:val="en-GB"/>
      </w:rPr>
      <w:t>17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5AC99" w14:textId="77777777" w:rsidR="000C32FB" w:rsidRDefault="000C32FB">
      <w:pPr>
        <w:spacing w:after="0" w:line="240" w:lineRule="auto"/>
      </w:pPr>
      <w:r>
        <w:separator/>
      </w:r>
    </w:p>
  </w:footnote>
  <w:footnote w:type="continuationSeparator" w:id="0">
    <w:p w14:paraId="4BF434BB" w14:textId="77777777" w:rsidR="000C32FB" w:rsidRDefault="000C32FB">
      <w:pPr>
        <w:spacing w:after="0" w:line="240" w:lineRule="auto"/>
      </w:pPr>
      <w:r>
        <w:continuationSeparator/>
      </w:r>
    </w:p>
  </w:footnote>
  <w:footnote w:id="1">
    <w:p w14:paraId="225FCF61" w14:textId="77777777" w:rsidR="000C32FB" w:rsidRPr="00EA0613" w:rsidRDefault="000C32FB" w:rsidP="006E5119">
      <w:pPr>
        <w:pStyle w:val="FootnoteText"/>
      </w:pPr>
      <w:r>
        <w:rPr>
          <w:rStyle w:val="FootnoteReference"/>
        </w:rPr>
        <w:footnoteRef/>
      </w:r>
      <w:r>
        <w:t xml:space="preserve"> </w:t>
      </w:r>
      <w:r w:rsidRPr="00F31385">
        <w:rPr>
          <w:rFonts w:asciiTheme="minorHAnsi" w:hAnsiTheme="minorHAnsi"/>
        </w:rPr>
        <w:t>The main local tax revenue sources are</w:t>
      </w:r>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w:t>
      </w:r>
      <w:r w:rsidRPr="00F31385">
        <w:rPr>
          <w:rFonts w:asciiTheme="minorHAnsi" w:hAnsiTheme="minorHAnsi"/>
        </w:rPr>
        <w:t xml:space="preserve"> the small business turnover tax (profit tax since 1January 2014)</w:t>
      </w:r>
      <w:proofErr w:type="gramStart"/>
      <w:r w:rsidRPr="00F31385">
        <w:rPr>
          <w:rFonts w:asciiTheme="minorHAnsi" w:hAnsiTheme="minorHAnsi"/>
        </w:rPr>
        <w:t>;</w:t>
      </w:r>
      <w:proofErr w:type="gramEnd"/>
      <w:r w:rsidRPr="00F31385">
        <w:rPr>
          <w:rFonts w:asciiTheme="minorHAnsi" w:hAnsiTheme="minorHAnsi"/>
        </w:rPr>
        <w:t xml:space="preserve"> ii. </w:t>
      </w:r>
      <w:proofErr w:type="gramStart"/>
      <w:r w:rsidRPr="00F31385">
        <w:rPr>
          <w:rFonts w:asciiTheme="minorHAnsi" w:hAnsiTheme="minorHAnsi"/>
        </w:rPr>
        <w:t>Property taxes; as well as iii.</w:t>
      </w:r>
      <w:proofErr w:type="gramEnd"/>
      <w:r w:rsidRPr="00F31385">
        <w:rPr>
          <w:rFonts w:asciiTheme="minorHAnsi" w:hAnsiTheme="minorHAnsi"/>
        </w:rPr>
        <w:t xml:space="preserve"> Cleaning fee.</w:t>
      </w:r>
    </w:p>
  </w:footnote>
  <w:footnote w:id="2">
    <w:p w14:paraId="50A37D80" w14:textId="77777777" w:rsidR="000C32FB" w:rsidRDefault="000C32FB" w:rsidP="006E5119">
      <w:pPr>
        <w:pStyle w:val="FootnoteText"/>
      </w:pPr>
      <w:r>
        <w:rPr>
          <w:rStyle w:val="FootnoteReference"/>
        </w:rPr>
        <w:footnoteRef/>
      </w:r>
      <w:r>
        <w:t xml:space="preserve"> Albania Local Finance Policy Note, The World Bank, 2008</w:t>
      </w:r>
    </w:p>
  </w:footnote>
  <w:footnote w:id="3">
    <w:p w14:paraId="2B12795C" w14:textId="77777777" w:rsidR="000C32FB" w:rsidRDefault="000C32FB" w:rsidP="006E5119">
      <w:pPr>
        <w:pStyle w:val="FootnoteText"/>
      </w:pPr>
      <w:r>
        <w:rPr>
          <w:rStyle w:val="FootnoteReference"/>
        </w:rPr>
        <w:footnoteRef/>
      </w:r>
      <w:r>
        <w:t xml:space="preserve"> White Paper on Fiscal Decentralization in Albania, </w:t>
      </w:r>
      <w:proofErr w:type="spellStart"/>
      <w:r>
        <w:t>PLGP</w:t>
      </w:r>
      <w:proofErr w:type="spellEnd"/>
      <w:r>
        <w:t xml:space="preserve"> – </w:t>
      </w:r>
      <w:proofErr w:type="spellStart"/>
      <w:r>
        <w:t>USAID</w:t>
      </w:r>
      <w:proofErr w:type="spellEnd"/>
      <w:r>
        <w:t>, 2012</w:t>
      </w:r>
    </w:p>
  </w:footnote>
  <w:footnote w:id="4">
    <w:p w14:paraId="7EC67A70" w14:textId="77777777" w:rsidR="000C32FB" w:rsidRDefault="000C32FB" w:rsidP="006E5119">
      <w:pPr>
        <w:pStyle w:val="FootnoteText"/>
      </w:pPr>
      <w:r>
        <w:rPr>
          <w:rStyle w:val="FootnoteReference"/>
        </w:rPr>
        <w:footnoteRef/>
      </w:r>
      <w:r>
        <w:t xml:space="preserve"> Selected from Intergovernmental fiscal Transfers, edited by </w:t>
      </w:r>
      <w:proofErr w:type="spellStart"/>
      <w:r>
        <w:t>Boadway</w:t>
      </w:r>
      <w:proofErr w:type="spellEnd"/>
      <w:r>
        <w:t>, Shah; The World Bank</w:t>
      </w:r>
    </w:p>
  </w:footnote>
  <w:footnote w:id="5">
    <w:p w14:paraId="1F54077C" w14:textId="77777777" w:rsidR="000C32FB" w:rsidRDefault="000C32FB" w:rsidP="006E5119">
      <w:pPr>
        <w:pStyle w:val="FootnoteText"/>
      </w:pPr>
      <w:r>
        <w:rPr>
          <w:rStyle w:val="FootnoteReference"/>
        </w:rPr>
        <w:footnoteRef/>
      </w:r>
      <w:r>
        <w:t xml:space="preserve"> These principles are stated in Article 15 of Law 8652/2000.</w:t>
      </w:r>
    </w:p>
  </w:footnote>
  <w:footnote w:id="6">
    <w:p w14:paraId="75AFEFFE" w14:textId="77777777" w:rsidR="000C32FB" w:rsidRDefault="000C32FB" w:rsidP="006E5119">
      <w:pPr>
        <w:pStyle w:val="FootnoteText"/>
      </w:pPr>
      <w:r>
        <w:rPr>
          <w:rStyle w:val="FootnoteReference"/>
        </w:rPr>
        <w:footnoteRef/>
      </w:r>
      <w:r>
        <w:t xml:space="preserve"> </w:t>
      </w:r>
      <w:r w:rsidRPr="00D21165">
        <w:rPr>
          <w:lang w:val="sq-AL"/>
        </w:rPr>
        <w:t>Tirana, Durrës, Elbasan, Fier, Korçë, Shkodër, Vlorë</w:t>
      </w:r>
      <w:r>
        <w:rPr>
          <w:lang w:val="sq-AL"/>
        </w:rPr>
        <w:t>, Kam</w:t>
      </w:r>
      <w:r w:rsidRPr="00D21165">
        <w:rPr>
          <w:lang w:val="sq-AL"/>
        </w:rPr>
        <w:t>ë</w:t>
      </w:r>
      <w:r>
        <w:rPr>
          <w:lang w:val="sq-AL"/>
        </w:rPr>
        <w:t>z</w:t>
      </w:r>
    </w:p>
  </w:footnote>
  <w:footnote w:id="7">
    <w:p w14:paraId="7996DC34" w14:textId="77777777" w:rsidR="000C32FB" w:rsidRDefault="000C32FB" w:rsidP="006E5119">
      <w:pPr>
        <w:pStyle w:val="FootnoteText"/>
      </w:pPr>
      <w:r>
        <w:rPr>
          <w:rStyle w:val="FootnoteReference"/>
        </w:rPr>
        <w:footnoteRef/>
      </w:r>
      <w:r>
        <w:t xml:space="preserve"> </w:t>
      </w:r>
      <w:proofErr w:type="spellStart"/>
      <w:r>
        <w:t>Berat</w:t>
      </w:r>
      <w:proofErr w:type="spellEnd"/>
      <w:r>
        <w:t xml:space="preserve">, </w:t>
      </w:r>
      <w:proofErr w:type="spellStart"/>
      <w:r>
        <w:t>Sarand</w:t>
      </w:r>
      <w:proofErr w:type="spellEnd"/>
      <w:r w:rsidRPr="00D21165">
        <w:rPr>
          <w:lang w:val="sq-AL"/>
        </w:rPr>
        <w:t>ë</w:t>
      </w:r>
      <w:r>
        <w:rPr>
          <w:lang w:val="sq-AL"/>
        </w:rPr>
        <w:t>, Kavaj</w:t>
      </w:r>
      <w:r w:rsidRPr="00D21165">
        <w:rPr>
          <w:lang w:val="sq-AL"/>
        </w:rPr>
        <w:t>ë</w:t>
      </w:r>
      <w:r>
        <w:rPr>
          <w:lang w:val="sq-AL"/>
        </w:rPr>
        <w:t>, Pogradec, Gjirokast</w:t>
      </w:r>
      <w:r w:rsidRPr="00D21165">
        <w:rPr>
          <w:lang w:val="sq-AL"/>
        </w:rPr>
        <w:t>ë</w:t>
      </w:r>
      <w:r>
        <w:rPr>
          <w:lang w:val="sq-AL"/>
        </w:rPr>
        <w:t>r, Kucov</w:t>
      </w:r>
      <w:r w:rsidRPr="00D21165">
        <w:rPr>
          <w:lang w:val="sq-AL"/>
        </w:rPr>
        <w:t>ë</w:t>
      </w:r>
      <w:r>
        <w:rPr>
          <w:lang w:val="sq-AL"/>
        </w:rPr>
        <w:t>, Lac, Lezh</w:t>
      </w:r>
      <w:r w:rsidRPr="00D21165">
        <w:rPr>
          <w:lang w:val="sq-AL"/>
        </w:rPr>
        <w:t>ë</w:t>
      </w:r>
      <w:r>
        <w:rPr>
          <w:lang w:val="sq-AL"/>
        </w:rPr>
        <w:t>, Bushat, Kashar, Kuk</w:t>
      </w:r>
      <w:r w:rsidRPr="00D21165">
        <w:rPr>
          <w:lang w:val="sq-AL"/>
        </w:rPr>
        <w:t>ë</w:t>
      </w:r>
      <w:r>
        <w:rPr>
          <w:lang w:val="sq-AL"/>
        </w:rPr>
        <w:t>s, Peshkopi, Xhafzotaj, Bucimas, Burrel, Kruj</w:t>
      </w:r>
      <w:r w:rsidRPr="00D21165">
        <w:rPr>
          <w:lang w:val="sq-AL"/>
        </w:rPr>
        <w:t>ë</w:t>
      </w:r>
      <w:r>
        <w:rPr>
          <w:lang w:val="sq-AL"/>
        </w:rPr>
        <w:t>, Divjak</w:t>
      </w:r>
      <w:r w:rsidRPr="00D21165">
        <w:rPr>
          <w:lang w:val="sq-AL"/>
        </w:rPr>
        <w:t>ë</w:t>
      </w:r>
      <w:r>
        <w:rPr>
          <w:lang w:val="sq-AL"/>
        </w:rPr>
        <w:t>, Himar</w:t>
      </w:r>
      <w:r w:rsidRPr="00D21165">
        <w:rPr>
          <w:lang w:val="sq-AL"/>
        </w:rPr>
        <w:t>ë</w:t>
      </w:r>
      <w:r>
        <w:rPr>
          <w:lang w:val="sq-AL"/>
        </w:rPr>
        <w:t>, Ballsh, Librazhd</w:t>
      </w:r>
    </w:p>
  </w:footnote>
  <w:footnote w:id="8">
    <w:p w14:paraId="2B8ABDB0" w14:textId="77777777" w:rsidR="000C32FB" w:rsidRDefault="000C32FB" w:rsidP="006E5119">
      <w:pPr>
        <w:pStyle w:val="FootnoteText"/>
        <w:jc w:val="both"/>
      </w:pPr>
      <w:r>
        <w:rPr>
          <w:rStyle w:val="FootnoteReference"/>
        </w:rPr>
        <w:footnoteRef/>
      </w:r>
      <w:r>
        <w:t xml:space="preserve"> When speaking about overall own source (or locally derived) revenue performance at the local level the term tax has been used for both taxes and fees (service charges). This is the term that is generally used in the budget classification for both types of revenue, in contrast with “non-tax revenues” that are one-time proceeds from sale of assets, lease or similar activities.</w:t>
      </w:r>
    </w:p>
  </w:footnote>
  <w:footnote w:id="9">
    <w:p w14:paraId="049BDA17" w14:textId="77777777" w:rsidR="000C32FB" w:rsidRDefault="000C32FB" w:rsidP="006E5119">
      <w:pPr>
        <w:pStyle w:val="FootnoteText"/>
      </w:pPr>
      <w:r>
        <w:rPr>
          <w:rStyle w:val="FootnoteReference"/>
        </w:rPr>
        <w:footnoteRef/>
      </w:r>
      <w:r>
        <w:t xml:space="preserve"> The small business tax base until 2013 was the annual turnover of small businesses, defined as subject with an annual turnover of </w:t>
      </w:r>
      <w:proofErr w:type="gramStart"/>
      <w:r>
        <w:t xml:space="preserve">up to 8 million </w:t>
      </w:r>
      <w:proofErr w:type="spellStart"/>
      <w:r>
        <w:t>Lek</w:t>
      </w:r>
      <w:proofErr w:type="spellEnd"/>
      <w:proofErr w:type="gramEnd"/>
      <w:r>
        <w:t>. The tax rate was 4% in the early 2000, and it was reduced several times until 1.5% of the annual turnover in the recent years until the end of 2013.</w:t>
      </w:r>
    </w:p>
  </w:footnote>
  <w:footnote w:id="10">
    <w:p w14:paraId="6A0A4CF7" w14:textId="77777777" w:rsidR="000C32FB" w:rsidRDefault="000C32FB" w:rsidP="006E5119">
      <w:pPr>
        <w:pStyle w:val="FootnoteText"/>
      </w:pPr>
      <w:r>
        <w:rPr>
          <w:rStyle w:val="FootnoteReference"/>
        </w:rPr>
        <w:footnoteRef/>
      </w:r>
      <w:r>
        <w:t xml:space="preserve"> </w:t>
      </w:r>
      <w:proofErr w:type="gramStart"/>
      <w:r>
        <w:t>+/-30% before 2010.</w:t>
      </w:r>
      <w:proofErr w:type="gramEnd"/>
    </w:p>
  </w:footnote>
  <w:footnote w:id="11">
    <w:p w14:paraId="28378ACE" w14:textId="77777777" w:rsidR="000C32FB" w:rsidRDefault="000C32FB" w:rsidP="006E5119">
      <w:pPr>
        <w:pStyle w:val="FootnoteText"/>
      </w:pPr>
      <w:r>
        <w:rPr>
          <w:rStyle w:val="FootnoteReference"/>
        </w:rPr>
        <w:footnoteRef/>
      </w:r>
      <w:r>
        <w:t xml:space="preserve"> Law no. 9632 as amended.</w:t>
      </w:r>
    </w:p>
  </w:footnote>
  <w:footnote w:id="12">
    <w:p w14:paraId="75D4C9F7" w14:textId="77777777" w:rsidR="000C32FB" w:rsidRDefault="000C32FB" w:rsidP="006E5119">
      <w:pPr>
        <w:pStyle w:val="FootnoteText"/>
      </w:pPr>
      <w:r>
        <w:rPr>
          <w:rStyle w:val="FootnoteReference"/>
        </w:rPr>
        <w:footnoteRef/>
      </w:r>
      <w:r>
        <w:t xml:space="preserve"> For instance, properties in downtown Tirana that have the maximum yield are taxed at a rate that is about 15 times lower than the tax rate in the so called “tourist village” designated areas on the seaside. A property that is located in the seaside outside of these designated areas is taxed at a rate that can be 40 times or more lower than the tax rate of a property inside the tourist village, even though the distance between the two (hence the market value) may be less then one meter. Furthermore arguments to introduce a tax on urban land (undeveloped land) were not taken into consideration.</w:t>
      </w:r>
    </w:p>
  </w:footnote>
  <w:footnote w:id="13">
    <w:p w14:paraId="7F54ED5B" w14:textId="77777777" w:rsidR="000C32FB" w:rsidRDefault="000C32FB" w:rsidP="006E5119">
      <w:pPr>
        <w:pStyle w:val="FootnoteText"/>
      </w:pPr>
      <w:r>
        <w:rPr>
          <w:rStyle w:val="FootnoteReference"/>
        </w:rPr>
        <w:footnoteRef/>
      </w:r>
      <w:r>
        <w:t xml:space="preserve"> Legislation that regulates solid waste management and environmental protection entailing obligations for local governments has also been passed during these years.</w:t>
      </w:r>
    </w:p>
  </w:footnote>
  <w:footnote w:id="14">
    <w:p w14:paraId="7822BA29" w14:textId="77777777" w:rsidR="000C32FB" w:rsidRDefault="000C32FB" w:rsidP="006E5119">
      <w:pPr>
        <w:pStyle w:val="FootnoteText"/>
      </w:pPr>
      <w:r>
        <w:rPr>
          <w:rStyle w:val="FootnoteReference"/>
        </w:rPr>
        <w:footnoteRef/>
      </w:r>
      <w:r>
        <w:t xml:space="preserve"> The first year of implementation of the local fiscal package and increase in local tax autonomy.</w:t>
      </w:r>
    </w:p>
  </w:footnote>
  <w:footnote w:id="15">
    <w:p w14:paraId="674CABB5" w14:textId="77777777" w:rsidR="000C32FB" w:rsidRDefault="000C32FB" w:rsidP="006E5119">
      <w:pPr>
        <w:pStyle w:val="FootnoteText"/>
      </w:pPr>
      <w:r>
        <w:rPr>
          <w:rStyle w:val="FootnoteReference"/>
        </w:rPr>
        <w:footnoteRef/>
      </w:r>
      <w:r>
        <w:t xml:space="preserve"> Calculated as the ratio of </w:t>
      </w:r>
      <w:r w:rsidRPr="00B36DFA">
        <w:t xml:space="preserve">the sum of the unconditional transfer and </w:t>
      </w:r>
      <w:r>
        <w:t xml:space="preserve">revenues from </w:t>
      </w:r>
      <w:proofErr w:type="spellStart"/>
      <w:r>
        <w:t>SBT</w:t>
      </w:r>
      <w:proofErr w:type="spellEnd"/>
      <w:r>
        <w:t xml:space="preserve"> and </w:t>
      </w:r>
      <w:proofErr w:type="spellStart"/>
      <w:r>
        <w:t>VRT</w:t>
      </w:r>
      <w:proofErr w:type="spellEnd"/>
      <w:r>
        <w:t xml:space="preserve"> (given that these were originally national taxes)</w:t>
      </w:r>
      <w:r w:rsidRPr="00B36DFA">
        <w:t xml:space="preserve"> </w:t>
      </w:r>
      <w:r>
        <w:t>with the state budget tax revenues</w:t>
      </w:r>
    </w:p>
  </w:footnote>
  <w:footnote w:id="16">
    <w:p w14:paraId="03641F7E" w14:textId="77777777" w:rsidR="000C32FB" w:rsidRDefault="000C32FB" w:rsidP="006E5119">
      <w:pPr>
        <w:pStyle w:val="FootnoteText"/>
      </w:pPr>
      <w:r>
        <w:rPr>
          <w:rStyle w:val="FootnoteReference"/>
        </w:rPr>
        <w:footnoteRef/>
      </w:r>
      <w:r>
        <w:t xml:space="preserve"> If equity is to be a significant objective in the case of competitive grants </w:t>
      </w:r>
    </w:p>
  </w:footnote>
  <w:footnote w:id="17">
    <w:p w14:paraId="3318C4FE" w14:textId="77777777" w:rsidR="000C32FB" w:rsidRDefault="000C32FB" w:rsidP="006E5119">
      <w:pPr>
        <w:pStyle w:val="FootnoteText"/>
      </w:pPr>
      <w:r>
        <w:rPr>
          <w:rStyle w:val="FootnoteReference"/>
        </w:rPr>
        <w:footnoteRef/>
      </w:r>
      <w:r>
        <w:t xml:space="preserve"> Please note that the Ministry of Finance argued that </w:t>
      </w:r>
      <w:proofErr w:type="gramStart"/>
      <w:r>
        <w:t>these companies were owned by local government, hence</w:t>
      </w:r>
      <w:proofErr w:type="gramEnd"/>
      <w:r>
        <w:t xml:space="preserve"> the intercept. However, these are all joint stock companies (therefore limited liability); local governments typically do not yet exercise control over them; and </w:t>
      </w:r>
      <w:r w:rsidRPr="002D4830">
        <w:t>debt were created</w:t>
      </w:r>
      <w:r>
        <w:t xml:space="preserve"> during the period when the central government still owned these companies.</w:t>
      </w:r>
    </w:p>
  </w:footnote>
  <w:footnote w:id="18">
    <w:p w14:paraId="584A2228" w14:textId="77777777" w:rsidR="000C32FB" w:rsidRDefault="000C32FB" w:rsidP="006E5119">
      <w:pPr>
        <w:pStyle w:val="FootnoteText"/>
      </w:pPr>
      <w:r>
        <w:rPr>
          <w:rStyle w:val="FootnoteReference"/>
        </w:rPr>
        <w:footnoteRef/>
      </w:r>
      <w:r>
        <w:t xml:space="preserve"> Name is not disclosed intentionally to avoid prejudice</w:t>
      </w:r>
    </w:p>
  </w:footnote>
  <w:footnote w:id="19">
    <w:p w14:paraId="2F0D493A" w14:textId="77777777" w:rsidR="000C32FB" w:rsidRDefault="000C32FB" w:rsidP="006E5119">
      <w:pPr>
        <w:pStyle w:val="FootnoteText"/>
      </w:pPr>
      <w:r>
        <w:rPr>
          <w:rStyle w:val="FootnoteReference"/>
        </w:rPr>
        <w:footnoteRef/>
      </w:r>
      <w:r>
        <w:t xml:space="preserve"> In recent years the central </w:t>
      </w:r>
      <w:r w:rsidRPr="007F1D15">
        <w:t>government established a maximum ceiling of the unconditional pool funds that can be used to fund local government staff. Whereas this</w:t>
      </w:r>
      <w:r>
        <w:t xml:space="preserve"> may be considered an actual restriction, it is in fact a loose condition as local governments earmark their local derived revenues to pay staff beyond these ceilings and reallocate the transfer to other sectors.</w:t>
      </w:r>
    </w:p>
  </w:footnote>
  <w:footnote w:id="20">
    <w:p w14:paraId="2BBEF0BE" w14:textId="77777777" w:rsidR="000C32FB" w:rsidRDefault="000C32FB" w:rsidP="006E5119">
      <w:pPr>
        <w:pStyle w:val="FootnoteText"/>
      </w:pPr>
      <w:r>
        <w:rPr>
          <w:rStyle w:val="FootnoteReference"/>
        </w:rPr>
        <w:footnoteRef/>
      </w:r>
      <w:r>
        <w:t xml:space="preserve"> </w:t>
      </w:r>
      <w:r>
        <w:rPr>
          <w:rFonts w:asciiTheme="minorHAnsi" w:eastAsiaTheme="minorHAnsi" w:hAnsiTheme="minorHAnsi"/>
          <w:color w:val="000000"/>
        </w:rPr>
        <w:t>S</w:t>
      </w:r>
      <w:r w:rsidRPr="00015B92">
        <w:rPr>
          <w:rFonts w:asciiTheme="minorHAnsi" w:eastAsiaTheme="minorHAnsi" w:hAnsiTheme="minorHAnsi"/>
          <w:color w:val="000000"/>
        </w:rPr>
        <w:t>ee also Albania Local Finance Policy Note, 2007, World Bank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3A9"/>
    <w:multiLevelType w:val="hybridMultilevel"/>
    <w:tmpl w:val="FABE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468E8"/>
    <w:multiLevelType w:val="hybridMultilevel"/>
    <w:tmpl w:val="C4F69BA0"/>
    <w:lvl w:ilvl="0" w:tplc="216C971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C01A3A"/>
    <w:multiLevelType w:val="hybridMultilevel"/>
    <w:tmpl w:val="5A1C56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17449"/>
    <w:multiLevelType w:val="hybridMultilevel"/>
    <w:tmpl w:val="9E8004DE"/>
    <w:lvl w:ilvl="0" w:tplc="0666B700">
      <w:start w:val="9"/>
      <w:numFmt w:val="lowerLetter"/>
      <w:lvlText w:val="%1."/>
      <w:lvlJc w:val="left"/>
      <w:pPr>
        <w:tabs>
          <w:tab w:val="num" w:pos="1080"/>
        </w:tabs>
        <w:ind w:left="1080" w:hanging="360"/>
      </w:pPr>
      <w:rPr>
        <w:rFonts w:hint="default"/>
      </w:rPr>
    </w:lvl>
    <w:lvl w:ilvl="1" w:tplc="068EE3A0">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05222E"/>
    <w:multiLevelType w:val="hybridMultilevel"/>
    <w:tmpl w:val="06E25C8A"/>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nsid w:val="2977073A"/>
    <w:multiLevelType w:val="hybridMultilevel"/>
    <w:tmpl w:val="D9F65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11FF2"/>
    <w:multiLevelType w:val="multilevel"/>
    <w:tmpl w:val="686687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A54E53"/>
    <w:multiLevelType w:val="hybridMultilevel"/>
    <w:tmpl w:val="47C24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D756D"/>
    <w:multiLevelType w:val="hybridMultilevel"/>
    <w:tmpl w:val="525E4224"/>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9">
    <w:nsid w:val="551F55DE"/>
    <w:multiLevelType w:val="hybridMultilevel"/>
    <w:tmpl w:val="FA82110E"/>
    <w:lvl w:ilvl="0" w:tplc="158AAE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3D24E4"/>
    <w:multiLevelType w:val="hybridMultilevel"/>
    <w:tmpl w:val="F9B2B7E8"/>
    <w:lvl w:ilvl="0" w:tplc="AE686508">
      <w:start w:val="1"/>
      <w:numFmt w:val="bullet"/>
      <w:pStyle w:val="Style1"/>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7D77A8B"/>
    <w:multiLevelType w:val="hybridMultilevel"/>
    <w:tmpl w:val="9ABA3DC6"/>
    <w:lvl w:ilvl="0" w:tplc="419C5CB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37FE6492">
      <w:start w:val="1"/>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010985"/>
    <w:multiLevelType w:val="hybridMultilevel"/>
    <w:tmpl w:val="43A46F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nsid w:val="75C67DED"/>
    <w:multiLevelType w:val="hybridMultilevel"/>
    <w:tmpl w:val="6AD019D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nsid w:val="77D920A2"/>
    <w:multiLevelType w:val="hybridMultilevel"/>
    <w:tmpl w:val="FAC27B04"/>
    <w:lvl w:ilvl="0" w:tplc="38FC755A">
      <w:start w:val="2"/>
      <w:numFmt w:val="bullet"/>
      <w:lvlText w:val="-"/>
      <w:lvlJc w:val="left"/>
      <w:pPr>
        <w:tabs>
          <w:tab w:val="num" w:pos="1080"/>
        </w:tabs>
        <w:ind w:left="1080" w:hanging="360"/>
      </w:pPr>
      <w:rPr>
        <w:rFonts w:ascii="Calibri" w:eastAsia="Times New Roman" w:hAnsi="Calibri" w:cs="Times New Roman" w:hint="default"/>
      </w:rPr>
    </w:lvl>
    <w:lvl w:ilvl="1" w:tplc="158AAEA0">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4"/>
  </w:num>
  <w:num w:numId="3">
    <w:abstractNumId w:val="0"/>
  </w:num>
  <w:num w:numId="4">
    <w:abstractNumId w:val="2"/>
  </w:num>
  <w:num w:numId="5">
    <w:abstractNumId w:val="13"/>
  </w:num>
  <w:num w:numId="6">
    <w:abstractNumId w:val="4"/>
  </w:num>
  <w:num w:numId="7">
    <w:abstractNumId w:val="12"/>
  </w:num>
  <w:num w:numId="8">
    <w:abstractNumId w:val="8"/>
  </w:num>
  <w:num w:numId="9">
    <w:abstractNumId w:val="5"/>
  </w:num>
  <w:num w:numId="10">
    <w:abstractNumId w:val="1"/>
  </w:num>
  <w:num w:numId="11">
    <w:abstractNumId w:val="3"/>
  </w:num>
  <w:num w:numId="12">
    <w:abstractNumId w:val="10"/>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A08"/>
    <w:rsid w:val="00056306"/>
    <w:rsid w:val="000A7C40"/>
    <w:rsid w:val="000C32FB"/>
    <w:rsid w:val="000D0610"/>
    <w:rsid w:val="000D1617"/>
    <w:rsid w:val="00183C41"/>
    <w:rsid w:val="00185DAF"/>
    <w:rsid w:val="001A3010"/>
    <w:rsid w:val="00287C49"/>
    <w:rsid w:val="002B306B"/>
    <w:rsid w:val="002D4830"/>
    <w:rsid w:val="002E3CD3"/>
    <w:rsid w:val="00314B3D"/>
    <w:rsid w:val="003C6C97"/>
    <w:rsid w:val="003E1D68"/>
    <w:rsid w:val="00412D00"/>
    <w:rsid w:val="00424A10"/>
    <w:rsid w:val="00454CD1"/>
    <w:rsid w:val="0047161F"/>
    <w:rsid w:val="004B6F74"/>
    <w:rsid w:val="00533409"/>
    <w:rsid w:val="005438D6"/>
    <w:rsid w:val="00545FDF"/>
    <w:rsid w:val="00553445"/>
    <w:rsid w:val="005814B9"/>
    <w:rsid w:val="0068434C"/>
    <w:rsid w:val="006904BF"/>
    <w:rsid w:val="006E5119"/>
    <w:rsid w:val="00760C9E"/>
    <w:rsid w:val="00770858"/>
    <w:rsid w:val="007F1D15"/>
    <w:rsid w:val="008F1C06"/>
    <w:rsid w:val="00957CAA"/>
    <w:rsid w:val="009D1D24"/>
    <w:rsid w:val="00A61CB7"/>
    <w:rsid w:val="00A9336A"/>
    <w:rsid w:val="00A95A08"/>
    <w:rsid w:val="00AA4856"/>
    <w:rsid w:val="00AB0AAB"/>
    <w:rsid w:val="00AB3799"/>
    <w:rsid w:val="00AD6757"/>
    <w:rsid w:val="00B43A8C"/>
    <w:rsid w:val="00BB19B9"/>
    <w:rsid w:val="00C128B4"/>
    <w:rsid w:val="00C20CDA"/>
    <w:rsid w:val="00C22501"/>
    <w:rsid w:val="00CF251F"/>
    <w:rsid w:val="00D50FD5"/>
    <w:rsid w:val="00E2773D"/>
    <w:rsid w:val="00E84F2C"/>
    <w:rsid w:val="00EB3439"/>
    <w:rsid w:val="00F056D0"/>
    <w:rsid w:val="00F06E50"/>
    <w:rsid w:val="00F23671"/>
    <w:rsid w:val="00F45154"/>
    <w:rsid w:val="00F6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1E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11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11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E5119"/>
    <w:pPr>
      <w:keepNext/>
      <w:keepLines/>
      <w:spacing w:before="120" w:after="240" w:line="240" w:lineRule="auto"/>
      <w:outlineLvl w:val="2"/>
    </w:pPr>
    <w:rPr>
      <w:rFonts w:ascii="Times New Roman" w:eastAsia="Times New Roman" w:hAnsi="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5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A08"/>
  </w:style>
  <w:style w:type="character" w:styleId="PageNumber">
    <w:name w:val="page number"/>
    <w:basedOn w:val="DefaultParagraphFont"/>
    <w:rsid w:val="00A95A08"/>
  </w:style>
  <w:style w:type="paragraph" w:styleId="BalloonText">
    <w:name w:val="Balloon Text"/>
    <w:basedOn w:val="Normal"/>
    <w:link w:val="BalloonTextChar"/>
    <w:uiPriority w:val="99"/>
    <w:semiHidden/>
    <w:unhideWhenUsed/>
    <w:rsid w:val="00A9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A08"/>
    <w:rPr>
      <w:rFonts w:ascii="Tahoma" w:hAnsi="Tahoma" w:cs="Tahoma"/>
      <w:sz w:val="16"/>
      <w:szCs w:val="16"/>
    </w:rPr>
  </w:style>
  <w:style w:type="character" w:styleId="Hyperlink">
    <w:name w:val="Hyperlink"/>
    <w:basedOn w:val="DefaultParagraphFont"/>
    <w:uiPriority w:val="99"/>
    <w:unhideWhenUsed/>
    <w:rsid w:val="00C20CDA"/>
    <w:rPr>
      <w:color w:val="0000FF" w:themeColor="hyperlink"/>
      <w:u w:val="single"/>
    </w:rPr>
  </w:style>
  <w:style w:type="table" w:styleId="TableGrid">
    <w:name w:val="Table Grid"/>
    <w:basedOn w:val="TableNormal"/>
    <w:rsid w:val="00C20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24A1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24A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056D0"/>
    <w:pPr>
      <w:ind w:left="720"/>
      <w:contextualSpacing/>
    </w:pPr>
  </w:style>
  <w:style w:type="paragraph" w:styleId="Header">
    <w:name w:val="header"/>
    <w:basedOn w:val="Normal"/>
    <w:link w:val="HeaderChar"/>
    <w:uiPriority w:val="99"/>
    <w:unhideWhenUsed/>
    <w:rsid w:val="00A9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36A"/>
  </w:style>
  <w:style w:type="character" w:customStyle="1" w:styleId="Heading1Char">
    <w:name w:val="Heading 1 Char"/>
    <w:basedOn w:val="DefaultParagraphFont"/>
    <w:link w:val="Heading1"/>
    <w:uiPriority w:val="9"/>
    <w:rsid w:val="006E51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1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E5119"/>
    <w:rPr>
      <w:rFonts w:ascii="Times New Roman" w:eastAsia="Times New Roman" w:hAnsi="Times New Roman" w:cs="Arial"/>
      <w:b/>
      <w:bCs/>
      <w:sz w:val="24"/>
      <w:szCs w:val="26"/>
    </w:rPr>
  </w:style>
  <w:style w:type="paragraph" w:styleId="FootnoteText">
    <w:name w:val="footnote text"/>
    <w:aliases w:val="ALTS FOOTNOTE,FOOTNOTES,fn,single space,footnote text,ADB,pod carou,ft Char, Char,ft,pod carou Char Char Char,pod carou Char Char,Footnote Text Char1 Char,Footnote Text Char2 Char Char,Footnote Text Char Char2 Char Char,Fußnotentext Char"/>
    <w:basedOn w:val="Normal"/>
    <w:link w:val="FootnoteTextChar"/>
    <w:semiHidden/>
    <w:rsid w:val="006E511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FOOTNOTES Char,fn Char,single space Char,footnote text Char,ADB Char,pod carou Char,ft Char Char, Char Char,ft Char1,pod carou Char Char Char Char,pod carou Char Char Char1,Footnote Text Char1 Char Char"/>
    <w:basedOn w:val="DefaultParagraphFont"/>
    <w:link w:val="FootnoteText"/>
    <w:semiHidden/>
    <w:rsid w:val="006E5119"/>
    <w:rPr>
      <w:rFonts w:ascii="Times New Roman" w:eastAsia="Times New Roman" w:hAnsi="Times New Roman" w:cs="Times New Roman"/>
      <w:sz w:val="20"/>
      <w:szCs w:val="20"/>
    </w:rPr>
  </w:style>
  <w:style w:type="character" w:styleId="FootnoteReference">
    <w:name w:val="footnote reference"/>
    <w:aliases w:val="16 Point,Superscript 6 Point,Odwołanie przypisu,Footnote symbol,ftref"/>
    <w:basedOn w:val="DefaultParagraphFont"/>
    <w:semiHidden/>
    <w:rsid w:val="006E5119"/>
    <w:rPr>
      <w:vertAlign w:val="superscript"/>
    </w:rPr>
  </w:style>
  <w:style w:type="paragraph" w:customStyle="1" w:styleId="Style1">
    <w:name w:val="Style1"/>
    <w:basedOn w:val="Normal"/>
    <w:rsid w:val="006E5119"/>
    <w:pPr>
      <w:numPr>
        <w:numId w:val="12"/>
      </w:num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6E5119"/>
    <w:pPr>
      <w:spacing w:after="0" w:line="240" w:lineRule="auto"/>
    </w:pPr>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6E51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11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E5119"/>
    <w:pPr>
      <w:spacing w:after="0" w:line="240" w:lineRule="auto"/>
    </w:pPr>
    <w:rPr>
      <w:rFonts w:ascii="Arial" w:eastAsia="SimSun" w:hAnsi="Arial" w:cs="Arial"/>
    </w:rPr>
  </w:style>
  <w:style w:type="paragraph" w:styleId="TOCHeading">
    <w:name w:val="TOC Heading"/>
    <w:basedOn w:val="Heading1"/>
    <w:next w:val="Normal"/>
    <w:uiPriority w:val="39"/>
    <w:unhideWhenUsed/>
    <w:qFormat/>
    <w:rsid w:val="006E5119"/>
    <w:pPr>
      <w:spacing w:line="276" w:lineRule="auto"/>
      <w:outlineLvl w:val="9"/>
    </w:pPr>
    <w:rPr>
      <w:lang w:val="de-CH" w:eastAsia="de-CH"/>
    </w:rPr>
  </w:style>
  <w:style w:type="paragraph" w:styleId="TOC2">
    <w:name w:val="toc 2"/>
    <w:basedOn w:val="Normal"/>
    <w:next w:val="Normal"/>
    <w:autoRedefine/>
    <w:uiPriority w:val="39"/>
    <w:unhideWhenUsed/>
    <w:qFormat/>
    <w:rsid w:val="00AB3799"/>
    <w:pPr>
      <w:tabs>
        <w:tab w:val="right" w:leader="dot" w:pos="9350"/>
      </w:tabs>
      <w:spacing w:after="100"/>
      <w:jc w:val="both"/>
    </w:pPr>
    <w:rPr>
      <w:rFonts w:eastAsiaTheme="minorEastAsia"/>
      <w:lang w:val="de-CH" w:eastAsia="de-CH"/>
    </w:rPr>
  </w:style>
  <w:style w:type="paragraph" w:styleId="TOC1">
    <w:name w:val="toc 1"/>
    <w:basedOn w:val="Normal"/>
    <w:next w:val="Normal"/>
    <w:autoRedefine/>
    <w:uiPriority w:val="39"/>
    <w:unhideWhenUsed/>
    <w:qFormat/>
    <w:rsid w:val="006E5119"/>
    <w:pPr>
      <w:spacing w:after="100"/>
    </w:pPr>
    <w:rPr>
      <w:rFonts w:eastAsiaTheme="minorEastAsia"/>
      <w:lang w:val="de-CH" w:eastAsia="de-CH"/>
    </w:rPr>
  </w:style>
  <w:style w:type="paragraph" w:styleId="TOC3">
    <w:name w:val="toc 3"/>
    <w:basedOn w:val="Normal"/>
    <w:next w:val="Normal"/>
    <w:autoRedefine/>
    <w:uiPriority w:val="39"/>
    <w:semiHidden/>
    <w:unhideWhenUsed/>
    <w:qFormat/>
    <w:rsid w:val="006E5119"/>
    <w:pPr>
      <w:spacing w:after="100"/>
      <w:ind w:left="440"/>
    </w:pPr>
    <w:rPr>
      <w:rFonts w:eastAsiaTheme="minorEastAsia"/>
      <w:lang w:val="de-CH" w:eastAsia="de-CH"/>
    </w:rPr>
  </w:style>
  <w:style w:type="character" w:styleId="CommentReference">
    <w:name w:val="annotation reference"/>
    <w:basedOn w:val="DefaultParagraphFont"/>
    <w:uiPriority w:val="99"/>
    <w:semiHidden/>
    <w:unhideWhenUsed/>
    <w:rsid w:val="006E5119"/>
    <w:rPr>
      <w:sz w:val="16"/>
      <w:szCs w:val="16"/>
    </w:rPr>
  </w:style>
  <w:style w:type="paragraph" w:styleId="CommentText">
    <w:name w:val="annotation text"/>
    <w:basedOn w:val="Normal"/>
    <w:link w:val="CommentTextChar"/>
    <w:uiPriority w:val="99"/>
    <w:semiHidden/>
    <w:unhideWhenUsed/>
    <w:rsid w:val="006E5119"/>
    <w:pPr>
      <w:spacing w:after="120" w:line="240" w:lineRule="auto"/>
    </w:pPr>
    <w:rPr>
      <w:rFonts w:ascii="Arial" w:eastAsia="SimSun" w:hAnsi="Arial" w:cs="Arial"/>
      <w:sz w:val="20"/>
      <w:szCs w:val="20"/>
    </w:rPr>
  </w:style>
  <w:style w:type="character" w:customStyle="1" w:styleId="CommentTextChar">
    <w:name w:val="Comment Text Char"/>
    <w:basedOn w:val="DefaultParagraphFont"/>
    <w:link w:val="CommentText"/>
    <w:uiPriority w:val="99"/>
    <w:semiHidden/>
    <w:rsid w:val="006E5119"/>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6E5119"/>
    <w:rPr>
      <w:b/>
      <w:bCs/>
    </w:rPr>
  </w:style>
  <w:style w:type="character" w:customStyle="1" w:styleId="CommentSubjectChar">
    <w:name w:val="Comment Subject Char"/>
    <w:basedOn w:val="CommentTextChar"/>
    <w:link w:val="CommentSubject"/>
    <w:uiPriority w:val="99"/>
    <w:semiHidden/>
    <w:rsid w:val="006E5119"/>
    <w:rPr>
      <w:rFonts w:ascii="Arial" w:eastAsia="SimSun" w:hAnsi="Arial" w:cs="Arial"/>
      <w:b/>
      <w:bCs/>
      <w:sz w:val="20"/>
      <w:szCs w:val="20"/>
    </w:rPr>
  </w:style>
  <w:style w:type="paragraph" w:customStyle="1" w:styleId="MainParanoChapter">
    <w:name w:val="Main Para no Chapter #"/>
    <w:basedOn w:val="Normal"/>
    <w:link w:val="MainParanoChapterChar"/>
    <w:rsid w:val="006E5119"/>
    <w:pPr>
      <w:spacing w:after="240" w:line="240" w:lineRule="auto"/>
      <w:outlineLvl w:val="1"/>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rsid w:val="006E51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11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11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E5119"/>
    <w:pPr>
      <w:keepNext/>
      <w:keepLines/>
      <w:spacing w:before="120" w:after="240" w:line="240" w:lineRule="auto"/>
      <w:outlineLvl w:val="2"/>
    </w:pPr>
    <w:rPr>
      <w:rFonts w:ascii="Times New Roman" w:eastAsia="Times New Roman" w:hAnsi="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5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A08"/>
  </w:style>
  <w:style w:type="character" w:styleId="PageNumber">
    <w:name w:val="page number"/>
    <w:basedOn w:val="DefaultParagraphFont"/>
    <w:rsid w:val="00A95A08"/>
  </w:style>
  <w:style w:type="paragraph" w:styleId="BalloonText">
    <w:name w:val="Balloon Text"/>
    <w:basedOn w:val="Normal"/>
    <w:link w:val="BalloonTextChar"/>
    <w:uiPriority w:val="99"/>
    <w:semiHidden/>
    <w:unhideWhenUsed/>
    <w:rsid w:val="00A9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A08"/>
    <w:rPr>
      <w:rFonts w:ascii="Tahoma" w:hAnsi="Tahoma" w:cs="Tahoma"/>
      <w:sz w:val="16"/>
      <w:szCs w:val="16"/>
    </w:rPr>
  </w:style>
  <w:style w:type="character" w:styleId="Hyperlink">
    <w:name w:val="Hyperlink"/>
    <w:basedOn w:val="DefaultParagraphFont"/>
    <w:uiPriority w:val="99"/>
    <w:unhideWhenUsed/>
    <w:rsid w:val="00C20CDA"/>
    <w:rPr>
      <w:color w:val="0000FF" w:themeColor="hyperlink"/>
      <w:u w:val="single"/>
    </w:rPr>
  </w:style>
  <w:style w:type="table" w:styleId="TableGrid">
    <w:name w:val="Table Grid"/>
    <w:basedOn w:val="TableNormal"/>
    <w:rsid w:val="00C20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24A1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24A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056D0"/>
    <w:pPr>
      <w:ind w:left="720"/>
      <w:contextualSpacing/>
    </w:pPr>
  </w:style>
  <w:style w:type="paragraph" w:styleId="Header">
    <w:name w:val="header"/>
    <w:basedOn w:val="Normal"/>
    <w:link w:val="HeaderChar"/>
    <w:uiPriority w:val="99"/>
    <w:unhideWhenUsed/>
    <w:rsid w:val="00A9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36A"/>
  </w:style>
  <w:style w:type="character" w:customStyle="1" w:styleId="Heading1Char">
    <w:name w:val="Heading 1 Char"/>
    <w:basedOn w:val="DefaultParagraphFont"/>
    <w:link w:val="Heading1"/>
    <w:uiPriority w:val="9"/>
    <w:rsid w:val="006E51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1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E5119"/>
    <w:rPr>
      <w:rFonts w:ascii="Times New Roman" w:eastAsia="Times New Roman" w:hAnsi="Times New Roman" w:cs="Arial"/>
      <w:b/>
      <w:bCs/>
      <w:sz w:val="24"/>
      <w:szCs w:val="26"/>
    </w:rPr>
  </w:style>
  <w:style w:type="paragraph" w:styleId="FootnoteText">
    <w:name w:val="footnote text"/>
    <w:aliases w:val="ALTS FOOTNOTE,FOOTNOTES,fn,single space,footnote text,ADB,pod carou,ft Char, Char,ft,pod carou Char Char Char,pod carou Char Char,Footnote Text Char1 Char,Footnote Text Char2 Char Char,Footnote Text Char Char2 Char Char,Fußnotentext Char"/>
    <w:basedOn w:val="Normal"/>
    <w:link w:val="FootnoteTextChar"/>
    <w:semiHidden/>
    <w:rsid w:val="006E511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FOOTNOTES Char,fn Char,single space Char,footnote text Char,ADB Char,pod carou Char,ft Char Char, Char Char,ft Char1,pod carou Char Char Char Char,pod carou Char Char Char1,Footnote Text Char1 Char Char"/>
    <w:basedOn w:val="DefaultParagraphFont"/>
    <w:link w:val="FootnoteText"/>
    <w:semiHidden/>
    <w:rsid w:val="006E5119"/>
    <w:rPr>
      <w:rFonts w:ascii="Times New Roman" w:eastAsia="Times New Roman" w:hAnsi="Times New Roman" w:cs="Times New Roman"/>
      <w:sz w:val="20"/>
      <w:szCs w:val="20"/>
    </w:rPr>
  </w:style>
  <w:style w:type="character" w:styleId="FootnoteReference">
    <w:name w:val="footnote reference"/>
    <w:aliases w:val="16 Point,Superscript 6 Point,Odwołanie przypisu,Footnote symbol,ftref"/>
    <w:basedOn w:val="DefaultParagraphFont"/>
    <w:semiHidden/>
    <w:rsid w:val="006E5119"/>
    <w:rPr>
      <w:vertAlign w:val="superscript"/>
    </w:rPr>
  </w:style>
  <w:style w:type="paragraph" w:customStyle="1" w:styleId="Style1">
    <w:name w:val="Style1"/>
    <w:basedOn w:val="Normal"/>
    <w:rsid w:val="006E5119"/>
    <w:pPr>
      <w:numPr>
        <w:numId w:val="12"/>
      </w:num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6E5119"/>
    <w:pPr>
      <w:spacing w:after="0" w:line="240" w:lineRule="auto"/>
    </w:pPr>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6E51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11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E5119"/>
    <w:pPr>
      <w:spacing w:after="0" w:line="240" w:lineRule="auto"/>
    </w:pPr>
    <w:rPr>
      <w:rFonts w:ascii="Arial" w:eastAsia="SimSun" w:hAnsi="Arial" w:cs="Arial"/>
    </w:rPr>
  </w:style>
  <w:style w:type="paragraph" w:styleId="TOCHeading">
    <w:name w:val="TOC Heading"/>
    <w:basedOn w:val="Heading1"/>
    <w:next w:val="Normal"/>
    <w:uiPriority w:val="39"/>
    <w:unhideWhenUsed/>
    <w:qFormat/>
    <w:rsid w:val="006E5119"/>
    <w:pPr>
      <w:spacing w:line="276" w:lineRule="auto"/>
      <w:outlineLvl w:val="9"/>
    </w:pPr>
    <w:rPr>
      <w:lang w:val="de-CH" w:eastAsia="de-CH"/>
    </w:rPr>
  </w:style>
  <w:style w:type="paragraph" w:styleId="TOC2">
    <w:name w:val="toc 2"/>
    <w:basedOn w:val="Normal"/>
    <w:next w:val="Normal"/>
    <w:autoRedefine/>
    <w:uiPriority w:val="39"/>
    <w:unhideWhenUsed/>
    <w:qFormat/>
    <w:rsid w:val="00AB3799"/>
    <w:pPr>
      <w:tabs>
        <w:tab w:val="right" w:leader="dot" w:pos="9350"/>
      </w:tabs>
      <w:spacing w:after="100"/>
      <w:jc w:val="both"/>
    </w:pPr>
    <w:rPr>
      <w:rFonts w:eastAsiaTheme="minorEastAsia"/>
      <w:lang w:val="de-CH" w:eastAsia="de-CH"/>
    </w:rPr>
  </w:style>
  <w:style w:type="paragraph" w:styleId="TOC1">
    <w:name w:val="toc 1"/>
    <w:basedOn w:val="Normal"/>
    <w:next w:val="Normal"/>
    <w:autoRedefine/>
    <w:uiPriority w:val="39"/>
    <w:unhideWhenUsed/>
    <w:qFormat/>
    <w:rsid w:val="006E5119"/>
    <w:pPr>
      <w:spacing w:after="100"/>
    </w:pPr>
    <w:rPr>
      <w:rFonts w:eastAsiaTheme="minorEastAsia"/>
      <w:lang w:val="de-CH" w:eastAsia="de-CH"/>
    </w:rPr>
  </w:style>
  <w:style w:type="paragraph" w:styleId="TOC3">
    <w:name w:val="toc 3"/>
    <w:basedOn w:val="Normal"/>
    <w:next w:val="Normal"/>
    <w:autoRedefine/>
    <w:uiPriority w:val="39"/>
    <w:semiHidden/>
    <w:unhideWhenUsed/>
    <w:qFormat/>
    <w:rsid w:val="006E5119"/>
    <w:pPr>
      <w:spacing w:after="100"/>
      <w:ind w:left="440"/>
    </w:pPr>
    <w:rPr>
      <w:rFonts w:eastAsiaTheme="minorEastAsia"/>
      <w:lang w:val="de-CH" w:eastAsia="de-CH"/>
    </w:rPr>
  </w:style>
  <w:style w:type="character" w:styleId="CommentReference">
    <w:name w:val="annotation reference"/>
    <w:basedOn w:val="DefaultParagraphFont"/>
    <w:uiPriority w:val="99"/>
    <w:semiHidden/>
    <w:unhideWhenUsed/>
    <w:rsid w:val="006E5119"/>
    <w:rPr>
      <w:sz w:val="16"/>
      <w:szCs w:val="16"/>
    </w:rPr>
  </w:style>
  <w:style w:type="paragraph" w:styleId="CommentText">
    <w:name w:val="annotation text"/>
    <w:basedOn w:val="Normal"/>
    <w:link w:val="CommentTextChar"/>
    <w:uiPriority w:val="99"/>
    <w:semiHidden/>
    <w:unhideWhenUsed/>
    <w:rsid w:val="006E5119"/>
    <w:pPr>
      <w:spacing w:after="120" w:line="240" w:lineRule="auto"/>
    </w:pPr>
    <w:rPr>
      <w:rFonts w:ascii="Arial" w:eastAsia="SimSun" w:hAnsi="Arial" w:cs="Arial"/>
      <w:sz w:val="20"/>
      <w:szCs w:val="20"/>
    </w:rPr>
  </w:style>
  <w:style w:type="character" w:customStyle="1" w:styleId="CommentTextChar">
    <w:name w:val="Comment Text Char"/>
    <w:basedOn w:val="DefaultParagraphFont"/>
    <w:link w:val="CommentText"/>
    <w:uiPriority w:val="99"/>
    <w:semiHidden/>
    <w:rsid w:val="006E5119"/>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6E5119"/>
    <w:rPr>
      <w:b/>
      <w:bCs/>
    </w:rPr>
  </w:style>
  <w:style w:type="character" w:customStyle="1" w:styleId="CommentSubjectChar">
    <w:name w:val="Comment Subject Char"/>
    <w:basedOn w:val="CommentTextChar"/>
    <w:link w:val="CommentSubject"/>
    <w:uiPriority w:val="99"/>
    <w:semiHidden/>
    <w:rsid w:val="006E5119"/>
    <w:rPr>
      <w:rFonts w:ascii="Arial" w:eastAsia="SimSun" w:hAnsi="Arial" w:cs="Arial"/>
      <w:b/>
      <w:bCs/>
      <w:sz w:val="20"/>
      <w:szCs w:val="20"/>
    </w:rPr>
  </w:style>
  <w:style w:type="paragraph" w:customStyle="1" w:styleId="MainParanoChapter">
    <w:name w:val="Main Para no Chapter #"/>
    <w:basedOn w:val="Normal"/>
    <w:link w:val="MainParanoChapterChar"/>
    <w:rsid w:val="006E5119"/>
    <w:pPr>
      <w:spacing w:after="240" w:line="240" w:lineRule="auto"/>
      <w:outlineLvl w:val="1"/>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rsid w:val="006E51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printerSettings" Target="printerSettings/printerSettings3.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chart" Target="charts/chart3.xml"/><Relationship Id="rId16" Type="http://schemas.openxmlformats.org/officeDocument/2006/relationships/chart" Target="charts/chart4.xml"/><Relationship Id="rId17" Type="http://schemas.openxmlformats.org/officeDocument/2006/relationships/printerSettings" Target="printerSettings/printerSettings1.bin"/><Relationship Id="rId18" Type="http://schemas.openxmlformats.org/officeDocument/2006/relationships/printerSettings" Target="printerSettings/printerSettings2.bin"/><Relationship Id="rId19" Type="http://schemas.openxmlformats.org/officeDocument/2006/relationships/hyperlink" Target="http://www.nalas.eu/fd/index.asp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ISB\Dropbox\dldp\PAper%202014\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D:Users:Sabina:Dropbox:dldp:PAper%202014: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SB\Dropbox\dldp\PAper%202014\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SB\Dropbox\dldp\PAper%202014\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238870792616721"/>
          <c:y val="0.0509259259259259"/>
          <c:w val="0.952225841476656"/>
          <c:h val="0.871710427831502"/>
        </c:manualLayout>
      </c:layout>
      <c:lineChart>
        <c:grouping val="standard"/>
        <c:varyColors val="0"/>
        <c:ser>
          <c:idx val="0"/>
          <c:order val="0"/>
          <c:tx>
            <c:strRef>
              <c:f>Sheet3!$B$46:$C$46</c:f>
              <c:strCache>
                <c:ptCount val="1"/>
                <c:pt idx="0">
                  <c:v>Total revenues</c:v>
                </c:pt>
              </c:strCache>
            </c:strRef>
          </c:tx>
          <c:cat>
            <c:numRef>
              <c:f>Sheet3!$D$45:$H$45</c:f>
              <c:numCache>
                <c:formatCode>General</c:formatCode>
                <c:ptCount val="5"/>
                <c:pt idx="0">
                  <c:v>2008.0</c:v>
                </c:pt>
                <c:pt idx="1">
                  <c:v>2009.0</c:v>
                </c:pt>
                <c:pt idx="2">
                  <c:v>2010.0</c:v>
                </c:pt>
                <c:pt idx="3">
                  <c:v>2011.0</c:v>
                </c:pt>
                <c:pt idx="4">
                  <c:v>2012.0</c:v>
                </c:pt>
              </c:numCache>
            </c:numRef>
          </c:cat>
          <c:val>
            <c:numRef>
              <c:f>Sheet3!$D$46:$H$46</c:f>
              <c:numCache>
                <c:formatCode>_(* #,##0_);_(* \(#,##0\);_(* "-"??_);_(@_)</c:formatCode>
                <c:ptCount val="5"/>
                <c:pt idx="0">
                  <c:v>3.26852956097457E7</c:v>
                </c:pt>
                <c:pt idx="1">
                  <c:v>4.85698486705035E7</c:v>
                </c:pt>
                <c:pt idx="2">
                  <c:v>4.58756499214499E7</c:v>
                </c:pt>
                <c:pt idx="3">
                  <c:v>4.31245989174912E7</c:v>
                </c:pt>
                <c:pt idx="4">
                  <c:v>4.25376880127386E7</c:v>
                </c:pt>
              </c:numCache>
            </c:numRef>
          </c:val>
          <c:smooth val="0"/>
        </c:ser>
        <c:ser>
          <c:idx val="1"/>
          <c:order val="1"/>
          <c:tx>
            <c:strRef>
              <c:f>Sheet3!$B$47:$C$47</c:f>
              <c:strCache>
                <c:ptCount val="1"/>
                <c:pt idx="0">
                  <c:v>Total own source rev</c:v>
                </c:pt>
              </c:strCache>
            </c:strRef>
          </c:tx>
          <c:cat>
            <c:numRef>
              <c:f>Sheet3!$D$45:$H$45</c:f>
              <c:numCache>
                <c:formatCode>General</c:formatCode>
                <c:ptCount val="5"/>
                <c:pt idx="0">
                  <c:v>2008.0</c:v>
                </c:pt>
                <c:pt idx="1">
                  <c:v>2009.0</c:v>
                </c:pt>
                <c:pt idx="2">
                  <c:v>2010.0</c:v>
                </c:pt>
                <c:pt idx="3">
                  <c:v>2011.0</c:v>
                </c:pt>
                <c:pt idx="4">
                  <c:v>2012.0</c:v>
                </c:pt>
              </c:numCache>
            </c:numRef>
          </c:cat>
          <c:val>
            <c:numRef>
              <c:f>Sheet3!$D$47:$H$47</c:f>
              <c:numCache>
                <c:formatCode>_(* #,##0_);_(* \(#,##0\);_(* "-"??_);_(@_)</c:formatCode>
                <c:ptCount val="5"/>
                <c:pt idx="0">
                  <c:v>1.295694771E7</c:v>
                </c:pt>
                <c:pt idx="1">
                  <c:v>1.485851347E7</c:v>
                </c:pt>
                <c:pt idx="2">
                  <c:v>1.5660560465E7</c:v>
                </c:pt>
                <c:pt idx="3">
                  <c:v>1.416471503E7</c:v>
                </c:pt>
                <c:pt idx="4">
                  <c:v>1.330600087182E7</c:v>
                </c:pt>
              </c:numCache>
            </c:numRef>
          </c:val>
          <c:smooth val="0"/>
        </c:ser>
        <c:ser>
          <c:idx val="2"/>
          <c:order val="2"/>
          <c:tx>
            <c:strRef>
              <c:f>Sheet3!$B$48:$C$48</c:f>
              <c:strCache>
                <c:ptCount val="1"/>
                <c:pt idx="0">
                  <c:v>Total tax revenue</c:v>
                </c:pt>
              </c:strCache>
            </c:strRef>
          </c:tx>
          <c:cat>
            <c:numRef>
              <c:f>Sheet3!$D$45:$H$45</c:f>
              <c:numCache>
                <c:formatCode>General</c:formatCode>
                <c:ptCount val="5"/>
                <c:pt idx="0">
                  <c:v>2008.0</c:v>
                </c:pt>
                <c:pt idx="1">
                  <c:v>2009.0</c:v>
                </c:pt>
                <c:pt idx="2">
                  <c:v>2010.0</c:v>
                </c:pt>
                <c:pt idx="3">
                  <c:v>2011.0</c:v>
                </c:pt>
                <c:pt idx="4">
                  <c:v>2012.0</c:v>
                </c:pt>
              </c:numCache>
            </c:numRef>
          </c:cat>
          <c:val>
            <c:numRef>
              <c:f>Sheet3!$D$48:$H$48</c:f>
              <c:numCache>
                <c:formatCode>_(* #,##0_);_(* \(#,##0\);_(* "-"??_);_(@_)</c:formatCode>
                <c:ptCount val="5"/>
                <c:pt idx="0">
                  <c:v>1.026646929E7</c:v>
                </c:pt>
                <c:pt idx="1">
                  <c:v>1.158298603E7</c:v>
                </c:pt>
                <c:pt idx="2">
                  <c:v>1.1895762362E7</c:v>
                </c:pt>
                <c:pt idx="3">
                  <c:v>1.179123177E7</c:v>
                </c:pt>
                <c:pt idx="4">
                  <c:v>1.064057245182E7</c:v>
                </c:pt>
              </c:numCache>
            </c:numRef>
          </c:val>
          <c:smooth val="0"/>
        </c:ser>
        <c:ser>
          <c:idx val="3"/>
          <c:order val="3"/>
          <c:tx>
            <c:strRef>
              <c:f>Sheet3!$B$49:$C$49</c:f>
              <c:strCache>
                <c:ptCount val="1"/>
                <c:pt idx="0">
                  <c:v>Unconditional transfers</c:v>
                </c:pt>
              </c:strCache>
            </c:strRef>
          </c:tx>
          <c:cat>
            <c:numRef>
              <c:f>Sheet3!$D$45:$H$45</c:f>
              <c:numCache>
                <c:formatCode>General</c:formatCode>
                <c:ptCount val="5"/>
                <c:pt idx="0">
                  <c:v>2008.0</c:v>
                </c:pt>
                <c:pt idx="1">
                  <c:v>2009.0</c:v>
                </c:pt>
                <c:pt idx="2">
                  <c:v>2010.0</c:v>
                </c:pt>
                <c:pt idx="3">
                  <c:v>2011.0</c:v>
                </c:pt>
                <c:pt idx="4">
                  <c:v>2012.0</c:v>
                </c:pt>
              </c:numCache>
            </c:numRef>
          </c:cat>
          <c:val>
            <c:numRef>
              <c:f>Sheet3!$D$49:$H$49</c:f>
              <c:numCache>
                <c:formatCode>_(* #,##0_);_(* \(#,##0\);_(* "-"??_);_(@_)</c:formatCode>
                <c:ptCount val="5"/>
                <c:pt idx="0">
                  <c:v>1.23015009397457E7</c:v>
                </c:pt>
                <c:pt idx="1">
                  <c:v>1.28501772705035E7</c:v>
                </c:pt>
                <c:pt idx="2">
                  <c:v>1.12157411584499E7</c:v>
                </c:pt>
                <c:pt idx="3">
                  <c:v>1.11132017604912E7</c:v>
                </c:pt>
                <c:pt idx="4">
                  <c:v>1.14651372513006E7</c:v>
                </c:pt>
              </c:numCache>
            </c:numRef>
          </c:val>
          <c:smooth val="0"/>
        </c:ser>
        <c:ser>
          <c:idx val="4"/>
          <c:order val="4"/>
          <c:tx>
            <c:strRef>
              <c:f>Sheet3!$B$50:$C$50</c:f>
              <c:strCache>
                <c:ptCount val="1"/>
                <c:pt idx="0">
                  <c:v>Conditional Transfers</c:v>
                </c:pt>
              </c:strCache>
            </c:strRef>
          </c:tx>
          <c:cat>
            <c:numRef>
              <c:f>Sheet3!$D$45:$H$45</c:f>
              <c:numCache>
                <c:formatCode>General</c:formatCode>
                <c:ptCount val="5"/>
                <c:pt idx="0">
                  <c:v>2008.0</c:v>
                </c:pt>
                <c:pt idx="1">
                  <c:v>2009.0</c:v>
                </c:pt>
                <c:pt idx="2">
                  <c:v>2010.0</c:v>
                </c:pt>
                <c:pt idx="3">
                  <c:v>2011.0</c:v>
                </c:pt>
                <c:pt idx="4">
                  <c:v>2012.0</c:v>
                </c:pt>
              </c:numCache>
            </c:numRef>
          </c:cat>
          <c:val>
            <c:numRef>
              <c:f>Sheet3!$D$50:$H$50</c:f>
              <c:numCache>
                <c:formatCode>_(* #,##0_);_(* \(#,##0\);_(* "-"??_);_(@_)</c:formatCode>
                <c:ptCount val="5"/>
                <c:pt idx="0">
                  <c:v>7.42684696E6</c:v>
                </c:pt>
                <c:pt idx="1">
                  <c:v>2.086115793E7</c:v>
                </c:pt>
                <c:pt idx="2">
                  <c:v>1.8999348298E7</c:v>
                </c:pt>
                <c:pt idx="3">
                  <c:v>1.7761587127E7</c:v>
                </c:pt>
                <c:pt idx="4">
                  <c:v>1.7766549889618E7</c:v>
                </c:pt>
              </c:numCache>
            </c:numRef>
          </c:val>
          <c:smooth val="0"/>
        </c:ser>
        <c:dLbls>
          <c:showLegendKey val="0"/>
          <c:showVal val="0"/>
          <c:showCatName val="0"/>
          <c:showSerName val="0"/>
          <c:showPercent val="0"/>
          <c:showBubbleSize val="0"/>
        </c:dLbls>
        <c:marker val="1"/>
        <c:smooth val="0"/>
        <c:axId val="2103217880"/>
        <c:axId val="2103221000"/>
      </c:lineChart>
      <c:catAx>
        <c:axId val="2103217880"/>
        <c:scaling>
          <c:orientation val="minMax"/>
        </c:scaling>
        <c:delete val="0"/>
        <c:axPos val="b"/>
        <c:numFmt formatCode="General" sourceLinked="1"/>
        <c:majorTickMark val="out"/>
        <c:minorTickMark val="none"/>
        <c:tickLblPos val="nextTo"/>
        <c:crossAx val="2103221000"/>
        <c:crosses val="autoZero"/>
        <c:auto val="1"/>
        <c:lblAlgn val="ctr"/>
        <c:lblOffset val="100"/>
        <c:noMultiLvlLbl val="0"/>
      </c:catAx>
      <c:valAx>
        <c:axId val="2103221000"/>
        <c:scaling>
          <c:orientation val="minMax"/>
        </c:scaling>
        <c:delete val="1"/>
        <c:axPos val="l"/>
        <c:majorGridlines/>
        <c:numFmt formatCode="_(* #,##0_);_(* \(#,##0\);_(* &quot;-&quot;??_);_(@_)" sourceLinked="1"/>
        <c:majorTickMark val="out"/>
        <c:minorTickMark val="none"/>
        <c:tickLblPos val="none"/>
        <c:crossAx val="2103217880"/>
        <c:crosses val="autoZero"/>
        <c:crossBetween val="between"/>
      </c:valAx>
    </c:plotArea>
    <c:legend>
      <c:legendPos val="b"/>
      <c:layout>
        <c:manualLayout>
          <c:xMode val="edge"/>
          <c:yMode val="edge"/>
          <c:x val="0.0398023047548241"/>
          <c:y val="0.0792173887009371"/>
          <c:w val="0.248721401777567"/>
          <c:h val="0.544356755785755"/>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0909162656751239"/>
          <c:y val="0.0619637750238322"/>
          <c:w val="0.867417067658209"/>
          <c:h val="0.760025671242953"/>
        </c:manualLayout>
      </c:layout>
      <c:lineChart>
        <c:grouping val="standard"/>
        <c:varyColors val="0"/>
        <c:ser>
          <c:idx val="0"/>
          <c:order val="0"/>
          <c:tx>
            <c:strRef>
              <c:f>'comparison groups'!$D$8</c:f>
              <c:strCache>
                <c:ptCount val="1"/>
                <c:pt idx="0">
                  <c:v>Total revenue</c:v>
                </c:pt>
              </c:strCache>
            </c:strRef>
          </c:tx>
          <c:marker>
            <c:symbol val="none"/>
          </c:marker>
          <c:cat>
            <c:strRef>
              <c:f>'comparison groups'!$C$9:$C$13</c:f>
              <c:strCache>
                <c:ptCount val="5"/>
                <c:pt idx="0">
                  <c:v>Tirana</c:v>
                </c:pt>
                <c:pt idx="1">
                  <c:v>7 largest</c:v>
                </c:pt>
                <c:pt idx="2">
                  <c:v>Average</c:v>
                </c:pt>
                <c:pt idx="3">
                  <c:v>Small</c:v>
                </c:pt>
                <c:pt idx="4">
                  <c:v>Sample average</c:v>
                </c:pt>
              </c:strCache>
            </c:strRef>
          </c:cat>
          <c:val>
            <c:numRef>
              <c:f>'comparison groups'!$D$9:$D$13</c:f>
              <c:numCache>
                <c:formatCode>#,##0</c:formatCode>
                <c:ptCount val="5"/>
                <c:pt idx="0">
                  <c:v>8540.79664152486</c:v>
                </c:pt>
                <c:pt idx="1">
                  <c:v>6365.541593343401</c:v>
                </c:pt>
                <c:pt idx="2">
                  <c:v>7543.454949135164</c:v>
                </c:pt>
                <c:pt idx="3">
                  <c:v>8398.188218180406</c:v>
                </c:pt>
                <c:pt idx="4">
                  <c:v>7543.454949135164</c:v>
                </c:pt>
              </c:numCache>
            </c:numRef>
          </c:val>
          <c:smooth val="0"/>
        </c:ser>
        <c:ser>
          <c:idx val="1"/>
          <c:order val="1"/>
          <c:tx>
            <c:strRef>
              <c:f>'comparison groups'!$E$8</c:f>
              <c:strCache>
                <c:ptCount val="1"/>
                <c:pt idx="0">
                  <c:v>Total tax revenue</c:v>
                </c:pt>
              </c:strCache>
            </c:strRef>
          </c:tx>
          <c:marker>
            <c:symbol val="none"/>
          </c:marker>
          <c:cat>
            <c:strRef>
              <c:f>'comparison groups'!$C$9:$C$13</c:f>
              <c:strCache>
                <c:ptCount val="5"/>
                <c:pt idx="0">
                  <c:v>Tirana</c:v>
                </c:pt>
                <c:pt idx="1">
                  <c:v>7 largest</c:v>
                </c:pt>
                <c:pt idx="2">
                  <c:v>Average</c:v>
                </c:pt>
                <c:pt idx="3">
                  <c:v>Small</c:v>
                </c:pt>
                <c:pt idx="4">
                  <c:v>Sample average</c:v>
                </c:pt>
              </c:strCache>
            </c:strRef>
          </c:cat>
          <c:val>
            <c:numRef>
              <c:f>'comparison groups'!$E$9:$E$13</c:f>
              <c:numCache>
                <c:formatCode>#,##0</c:formatCode>
                <c:ptCount val="5"/>
                <c:pt idx="0">
                  <c:v>5286.83395107487</c:v>
                </c:pt>
                <c:pt idx="1">
                  <c:v>2964.687248693216</c:v>
                </c:pt>
                <c:pt idx="2">
                  <c:v>3672.837794726038</c:v>
                </c:pt>
                <c:pt idx="3">
                  <c:v>1177.756075588635</c:v>
                </c:pt>
                <c:pt idx="4">
                  <c:v>3672.837794726038</c:v>
                </c:pt>
              </c:numCache>
            </c:numRef>
          </c:val>
          <c:smooth val="0"/>
        </c:ser>
        <c:ser>
          <c:idx val="2"/>
          <c:order val="2"/>
          <c:tx>
            <c:strRef>
              <c:f>'comparison groups'!$F$8</c:f>
              <c:strCache>
                <c:ptCount val="1"/>
                <c:pt idx="0">
                  <c:v>Total SBT</c:v>
                </c:pt>
              </c:strCache>
            </c:strRef>
          </c:tx>
          <c:marker>
            <c:symbol val="none"/>
          </c:marker>
          <c:cat>
            <c:strRef>
              <c:f>'comparison groups'!$C$9:$C$13</c:f>
              <c:strCache>
                <c:ptCount val="5"/>
                <c:pt idx="0">
                  <c:v>Tirana</c:v>
                </c:pt>
                <c:pt idx="1">
                  <c:v>7 largest</c:v>
                </c:pt>
                <c:pt idx="2">
                  <c:v>Average</c:v>
                </c:pt>
                <c:pt idx="3">
                  <c:v>Small</c:v>
                </c:pt>
                <c:pt idx="4">
                  <c:v>Sample average</c:v>
                </c:pt>
              </c:strCache>
            </c:strRef>
          </c:cat>
          <c:val>
            <c:numRef>
              <c:f>'comparison groups'!$F$9:$F$13</c:f>
              <c:numCache>
                <c:formatCode>#,##0</c:formatCode>
                <c:ptCount val="5"/>
                <c:pt idx="0">
                  <c:v>1399.264302059495</c:v>
                </c:pt>
                <c:pt idx="1">
                  <c:v>714.7803397032732</c:v>
                </c:pt>
                <c:pt idx="2">
                  <c:v>875.9604295247586</c:v>
                </c:pt>
                <c:pt idx="3">
                  <c:v>226.0521631666805</c:v>
                </c:pt>
                <c:pt idx="4">
                  <c:v>875.9604295247586</c:v>
                </c:pt>
              </c:numCache>
            </c:numRef>
          </c:val>
          <c:smooth val="0"/>
        </c:ser>
        <c:ser>
          <c:idx val="3"/>
          <c:order val="3"/>
          <c:tx>
            <c:strRef>
              <c:f>'comparison groups'!$G$8</c:f>
              <c:strCache>
                <c:ptCount val="1"/>
                <c:pt idx="0">
                  <c:v>Total property</c:v>
                </c:pt>
              </c:strCache>
            </c:strRef>
          </c:tx>
          <c:marker>
            <c:symbol val="none"/>
          </c:marker>
          <c:cat>
            <c:strRef>
              <c:f>'comparison groups'!$C$9:$C$13</c:f>
              <c:strCache>
                <c:ptCount val="5"/>
                <c:pt idx="0">
                  <c:v>Tirana</c:v>
                </c:pt>
                <c:pt idx="1">
                  <c:v>7 largest</c:v>
                </c:pt>
                <c:pt idx="2">
                  <c:v>Average</c:v>
                </c:pt>
                <c:pt idx="3">
                  <c:v>Small</c:v>
                </c:pt>
                <c:pt idx="4">
                  <c:v>Sample average</c:v>
                </c:pt>
              </c:strCache>
            </c:strRef>
          </c:cat>
          <c:val>
            <c:numRef>
              <c:f>'comparison groups'!$G$9:$G$13</c:f>
              <c:numCache>
                <c:formatCode>#,##0</c:formatCode>
                <c:ptCount val="5"/>
                <c:pt idx="0">
                  <c:v>737.158233151771</c:v>
                </c:pt>
                <c:pt idx="1">
                  <c:v>401.4290956939534</c:v>
                </c:pt>
                <c:pt idx="2">
                  <c:v>517.7924564992944</c:v>
                </c:pt>
                <c:pt idx="3">
                  <c:v>386.2722149978324</c:v>
                </c:pt>
                <c:pt idx="4">
                  <c:v>517.7924564992944</c:v>
                </c:pt>
              </c:numCache>
            </c:numRef>
          </c:val>
          <c:smooth val="0"/>
        </c:ser>
        <c:ser>
          <c:idx val="5"/>
          <c:order val="4"/>
          <c:tx>
            <c:strRef>
              <c:f>'comparison groups'!$I$8</c:f>
              <c:strCache>
                <c:ptCount val="1"/>
                <c:pt idx="0">
                  <c:v>Total unconditional transfer</c:v>
                </c:pt>
              </c:strCache>
            </c:strRef>
          </c:tx>
          <c:marker>
            <c:symbol val="none"/>
          </c:marker>
          <c:cat>
            <c:strRef>
              <c:f>'comparison groups'!$C$9:$C$13</c:f>
              <c:strCache>
                <c:ptCount val="5"/>
                <c:pt idx="0">
                  <c:v>Tirana</c:v>
                </c:pt>
                <c:pt idx="1">
                  <c:v>7 largest</c:v>
                </c:pt>
                <c:pt idx="2">
                  <c:v>Average</c:v>
                </c:pt>
                <c:pt idx="3">
                  <c:v>Small</c:v>
                </c:pt>
                <c:pt idx="4">
                  <c:v>Sample average</c:v>
                </c:pt>
              </c:strCache>
            </c:strRef>
          </c:cat>
          <c:val>
            <c:numRef>
              <c:f>'comparison groups'!$I$9:$I$13</c:f>
              <c:numCache>
                <c:formatCode>#,##0</c:formatCode>
                <c:ptCount val="5"/>
                <c:pt idx="0">
                  <c:v>1437.744818531983</c:v>
                </c:pt>
                <c:pt idx="1">
                  <c:v>2275.662378765379</c:v>
                </c:pt>
                <c:pt idx="2">
                  <c:v>2114.769634860906</c:v>
                </c:pt>
                <c:pt idx="3">
                  <c:v>2929.166114112454</c:v>
                </c:pt>
                <c:pt idx="4">
                  <c:v>2114.769634860906</c:v>
                </c:pt>
              </c:numCache>
            </c:numRef>
          </c:val>
          <c:smooth val="0"/>
        </c:ser>
        <c:dLbls>
          <c:showLegendKey val="0"/>
          <c:showVal val="0"/>
          <c:showCatName val="0"/>
          <c:showSerName val="0"/>
          <c:showPercent val="0"/>
          <c:showBubbleSize val="0"/>
        </c:dLbls>
        <c:marker val="1"/>
        <c:smooth val="0"/>
        <c:axId val="2103254760"/>
        <c:axId val="2103257816"/>
      </c:lineChart>
      <c:catAx>
        <c:axId val="2103254760"/>
        <c:scaling>
          <c:orientation val="minMax"/>
        </c:scaling>
        <c:delete val="0"/>
        <c:axPos val="b"/>
        <c:majorTickMark val="out"/>
        <c:minorTickMark val="none"/>
        <c:tickLblPos val="nextTo"/>
        <c:crossAx val="2103257816"/>
        <c:crosses val="autoZero"/>
        <c:auto val="1"/>
        <c:lblAlgn val="ctr"/>
        <c:lblOffset val="100"/>
        <c:noMultiLvlLbl val="0"/>
      </c:catAx>
      <c:valAx>
        <c:axId val="2103257816"/>
        <c:scaling>
          <c:orientation val="minMax"/>
        </c:scaling>
        <c:delete val="0"/>
        <c:axPos val="l"/>
        <c:majorGridlines/>
        <c:numFmt formatCode="#,##0" sourceLinked="1"/>
        <c:majorTickMark val="out"/>
        <c:minorTickMark val="none"/>
        <c:tickLblPos val="nextTo"/>
        <c:crossAx val="2103254760"/>
        <c:crosses val="autoZero"/>
        <c:crossBetween val="between"/>
      </c:valAx>
    </c:plotArea>
    <c:legend>
      <c:legendPos val="r"/>
      <c:legendEntry>
        <c:idx val="3"/>
        <c:delete val="1"/>
      </c:legendEntry>
      <c:layout>
        <c:manualLayout>
          <c:xMode val="edge"/>
          <c:yMode val="edge"/>
          <c:x val="0.645833333333334"/>
          <c:y val="0.0892953919368278"/>
          <c:w val="0.337962962962964"/>
          <c:h val="0.38289634672691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percentStacked"/>
        <c:varyColors val="0"/>
        <c:ser>
          <c:idx val="0"/>
          <c:order val="0"/>
          <c:tx>
            <c:strRef>
              <c:f>Sheet3!$B$14</c:f>
              <c:strCache>
                <c:ptCount val="1"/>
                <c:pt idx="0">
                  <c:v>Small business tax</c:v>
                </c:pt>
              </c:strCache>
            </c:strRef>
          </c:tx>
          <c:invertIfNegative val="0"/>
          <c:dLbls>
            <c:showLegendKey val="0"/>
            <c:showVal val="1"/>
            <c:showCatName val="0"/>
            <c:showSerName val="0"/>
            <c:showPercent val="0"/>
            <c:showBubbleSize val="0"/>
            <c:showLeaderLines val="0"/>
          </c:dLbls>
          <c:cat>
            <c:numRef>
              <c:f>Sheet3!$C$13:$G$13</c:f>
              <c:numCache>
                <c:formatCode>General</c:formatCode>
                <c:ptCount val="5"/>
                <c:pt idx="0">
                  <c:v>2008.0</c:v>
                </c:pt>
                <c:pt idx="1">
                  <c:v>2009.0</c:v>
                </c:pt>
                <c:pt idx="2">
                  <c:v>2010.0</c:v>
                </c:pt>
                <c:pt idx="3">
                  <c:v>2011.0</c:v>
                </c:pt>
                <c:pt idx="4">
                  <c:v>2012.0</c:v>
                </c:pt>
              </c:numCache>
            </c:numRef>
          </c:cat>
          <c:val>
            <c:numRef>
              <c:f>Sheet3!$C$14:$G$14</c:f>
              <c:numCache>
                <c:formatCode>0%</c:formatCode>
                <c:ptCount val="5"/>
                <c:pt idx="0">
                  <c:v>0.226056205319837</c:v>
                </c:pt>
                <c:pt idx="1">
                  <c:v>0.198446099324535</c:v>
                </c:pt>
                <c:pt idx="2">
                  <c:v>0.318043779479295</c:v>
                </c:pt>
                <c:pt idx="3">
                  <c:v>0.211923325031754</c:v>
                </c:pt>
                <c:pt idx="4">
                  <c:v>0.193968075834142</c:v>
                </c:pt>
              </c:numCache>
            </c:numRef>
          </c:val>
        </c:ser>
        <c:ser>
          <c:idx val="1"/>
          <c:order val="1"/>
          <c:tx>
            <c:strRef>
              <c:f>Sheet3!$B$15</c:f>
              <c:strCache>
                <c:ptCount val="1"/>
                <c:pt idx="0">
                  <c:v>Property taxes</c:v>
                </c:pt>
              </c:strCache>
            </c:strRef>
          </c:tx>
          <c:invertIfNegative val="0"/>
          <c:dLbls>
            <c:showLegendKey val="0"/>
            <c:showVal val="1"/>
            <c:showCatName val="0"/>
            <c:showSerName val="0"/>
            <c:showPercent val="0"/>
            <c:showBubbleSize val="0"/>
            <c:showLeaderLines val="0"/>
          </c:dLbls>
          <c:cat>
            <c:numRef>
              <c:f>Sheet3!$C$13:$G$13</c:f>
              <c:numCache>
                <c:formatCode>General</c:formatCode>
                <c:ptCount val="5"/>
                <c:pt idx="0">
                  <c:v>2008.0</c:v>
                </c:pt>
                <c:pt idx="1">
                  <c:v>2009.0</c:v>
                </c:pt>
                <c:pt idx="2">
                  <c:v>2010.0</c:v>
                </c:pt>
                <c:pt idx="3">
                  <c:v>2011.0</c:v>
                </c:pt>
                <c:pt idx="4">
                  <c:v>2012.0</c:v>
                </c:pt>
              </c:numCache>
            </c:numRef>
          </c:cat>
          <c:val>
            <c:numRef>
              <c:f>Sheet3!$C$15:$G$15</c:f>
              <c:numCache>
                <c:formatCode>0%</c:formatCode>
                <c:ptCount val="5"/>
                <c:pt idx="0">
                  <c:v>0.0883355124410115</c:v>
                </c:pt>
                <c:pt idx="1">
                  <c:v>0.0800038635660411</c:v>
                </c:pt>
                <c:pt idx="2">
                  <c:v>0.14394258023932</c:v>
                </c:pt>
                <c:pt idx="3">
                  <c:v>0.111214032409774</c:v>
                </c:pt>
                <c:pt idx="4">
                  <c:v>0.114657241449926</c:v>
                </c:pt>
              </c:numCache>
            </c:numRef>
          </c:val>
        </c:ser>
        <c:ser>
          <c:idx val="2"/>
          <c:order val="2"/>
          <c:tx>
            <c:strRef>
              <c:f>Sheet3!$B$16</c:f>
              <c:strCache>
                <c:ptCount val="1"/>
                <c:pt idx="0">
                  <c:v>Infrastructure impact tax</c:v>
                </c:pt>
              </c:strCache>
            </c:strRef>
          </c:tx>
          <c:invertIfNegative val="0"/>
          <c:dLbls>
            <c:showLegendKey val="0"/>
            <c:showVal val="1"/>
            <c:showCatName val="0"/>
            <c:showSerName val="0"/>
            <c:showPercent val="0"/>
            <c:showBubbleSize val="0"/>
            <c:showLeaderLines val="0"/>
          </c:dLbls>
          <c:cat>
            <c:numRef>
              <c:f>Sheet3!$C$13:$G$13</c:f>
              <c:numCache>
                <c:formatCode>General</c:formatCode>
                <c:ptCount val="5"/>
                <c:pt idx="0">
                  <c:v>2008.0</c:v>
                </c:pt>
                <c:pt idx="1">
                  <c:v>2009.0</c:v>
                </c:pt>
                <c:pt idx="2">
                  <c:v>2010.0</c:v>
                </c:pt>
                <c:pt idx="3">
                  <c:v>2011.0</c:v>
                </c:pt>
                <c:pt idx="4">
                  <c:v>2012.0</c:v>
                </c:pt>
              </c:numCache>
            </c:numRef>
          </c:cat>
          <c:val>
            <c:numRef>
              <c:f>Sheet3!$C$16:$G$16</c:f>
              <c:numCache>
                <c:formatCode>0%</c:formatCode>
                <c:ptCount val="5"/>
                <c:pt idx="0">
                  <c:v>0.192617804559912</c:v>
                </c:pt>
                <c:pt idx="1">
                  <c:v>0.214396728047393</c:v>
                </c:pt>
                <c:pt idx="2">
                  <c:v>0.239688794147266</c:v>
                </c:pt>
                <c:pt idx="3">
                  <c:v>0.223792168578448</c:v>
                </c:pt>
                <c:pt idx="4">
                  <c:v>0.0995406890562482</c:v>
                </c:pt>
              </c:numCache>
            </c:numRef>
          </c:val>
        </c:ser>
        <c:ser>
          <c:idx val="3"/>
          <c:order val="3"/>
          <c:tx>
            <c:strRef>
              <c:f>Sheet3!$B$17</c:f>
              <c:strCache>
                <c:ptCount val="1"/>
                <c:pt idx="0">
                  <c:v>Public space tax</c:v>
                </c:pt>
              </c:strCache>
            </c:strRef>
          </c:tx>
          <c:invertIfNegative val="0"/>
          <c:cat>
            <c:numRef>
              <c:f>Sheet3!$C$13:$G$13</c:f>
              <c:numCache>
                <c:formatCode>General</c:formatCode>
                <c:ptCount val="5"/>
                <c:pt idx="0">
                  <c:v>2008.0</c:v>
                </c:pt>
                <c:pt idx="1">
                  <c:v>2009.0</c:v>
                </c:pt>
                <c:pt idx="2">
                  <c:v>2010.0</c:v>
                </c:pt>
                <c:pt idx="3">
                  <c:v>2011.0</c:v>
                </c:pt>
                <c:pt idx="4">
                  <c:v>2012.0</c:v>
                </c:pt>
              </c:numCache>
            </c:numRef>
          </c:cat>
          <c:val>
            <c:numRef>
              <c:f>Sheet3!$C$17:$G$17</c:f>
              <c:numCache>
                <c:formatCode>0%</c:formatCode>
                <c:ptCount val="5"/>
                <c:pt idx="0">
                  <c:v>0.0425934402217979</c:v>
                </c:pt>
                <c:pt idx="1">
                  <c:v>0.0165983655787639</c:v>
                </c:pt>
                <c:pt idx="2">
                  <c:v>0.040926568606616</c:v>
                </c:pt>
                <c:pt idx="3">
                  <c:v>0.0247466391395841</c:v>
                </c:pt>
                <c:pt idx="4">
                  <c:v>0.0363602876323278</c:v>
                </c:pt>
              </c:numCache>
            </c:numRef>
          </c:val>
        </c:ser>
        <c:ser>
          <c:idx val="4"/>
          <c:order val="4"/>
          <c:tx>
            <c:strRef>
              <c:f>Sheet3!$B$18</c:f>
              <c:strCache>
                <c:ptCount val="1"/>
                <c:pt idx="0">
                  <c:v>Cleaning fee</c:v>
                </c:pt>
              </c:strCache>
            </c:strRef>
          </c:tx>
          <c:invertIfNegative val="0"/>
          <c:dLbls>
            <c:showLegendKey val="0"/>
            <c:showVal val="1"/>
            <c:showCatName val="0"/>
            <c:showSerName val="0"/>
            <c:showPercent val="0"/>
            <c:showBubbleSize val="0"/>
            <c:showLeaderLines val="0"/>
          </c:dLbls>
          <c:cat>
            <c:numRef>
              <c:f>Sheet3!$C$13:$G$13</c:f>
              <c:numCache>
                <c:formatCode>General</c:formatCode>
                <c:ptCount val="5"/>
                <c:pt idx="0">
                  <c:v>2008.0</c:v>
                </c:pt>
                <c:pt idx="1">
                  <c:v>2009.0</c:v>
                </c:pt>
                <c:pt idx="2">
                  <c:v>2010.0</c:v>
                </c:pt>
                <c:pt idx="3">
                  <c:v>2011.0</c:v>
                </c:pt>
                <c:pt idx="4">
                  <c:v>2012.0</c:v>
                </c:pt>
              </c:numCache>
            </c:numRef>
          </c:cat>
          <c:val>
            <c:numRef>
              <c:f>Sheet3!$C$18:$G$18</c:f>
              <c:numCache>
                <c:formatCode>0%</c:formatCode>
                <c:ptCount val="5"/>
                <c:pt idx="0">
                  <c:v>0.0984540017217087</c:v>
                </c:pt>
                <c:pt idx="1">
                  <c:v>0.099081812483127</c:v>
                </c:pt>
                <c:pt idx="2">
                  <c:v>0.13272313644304</c:v>
                </c:pt>
                <c:pt idx="3">
                  <c:v>0.104493159262669</c:v>
                </c:pt>
                <c:pt idx="4">
                  <c:v>0.142195920467407</c:v>
                </c:pt>
              </c:numCache>
            </c:numRef>
          </c:val>
        </c:ser>
        <c:ser>
          <c:idx val="5"/>
          <c:order val="5"/>
          <c:tx>
            <c:strRef>
              <c:f>Sheet3!$B$19</c:f>
              <c:strCache>
                <c:ptCount val="1"/>
                <c:pt idx="0">
                  <c:v>Other local revenues</c:v>
                </c:pt>
              </c:strCache>
            </c:strRef>
          </c:tx>
          <c:invertIfNegative val="0"/>
          <c:dLbls>
            <c:showLegendKey val="0"/>
            <c:showVal val="1"/>
            <c:showCatName val="0"/>
            <c:showSerName val="0"/>
            <c:showPercent val="0"/>
            <c:showBubbleSize val="0"/>
            <c:showLeaderLines val="0"/>
          </c:dLbls>
          <c:cat>
            <c:numRef>
              <c:f>Sheet3!$C$13:$G$13</c:f>
              <c:numCache>
                <c:formatCode>General</c:formatCode>
                <c:ptCount val="5"/>
                <c:pt idx="0">
                  <c:v>2008.0</c:v>
                </c:pt>
                <c:pt idx="1">
                  <c:v>2009.0</c:v>
                </c:pt>
                <c:pt idx="2">
                  <c:v>2010.0</c:v>
                </c:pt>
                <c:pt idx="3">
                  <c:v>2011.0</c:v>
                </c:pt>
                <c:pt idx="4">
                  <c:v>2012.0</c:v>
                </c:pt>
              </c:numCache>
            </c:numRef>
          </c:cat>
          <c:val>
            <c:numRef>
              <c:f>Sheet3!$C$19:$G$19</c:f>
              <c:numCache>
                <c:formatCode>0%</c:formatCode>
                <c:ptCount val="5"/>
                <c:pt idx="0">
                  <c:v>0.351723470207801</c:v>
                </c:pt>
                <c:pt idx="1">
                  <c:v>0.391283536959739</c:v>
                </c:pt>
                <c:pt idx="2">
                  <c:v>0.124409820577722</c:v>
                </c:pt>
                <c:pt idx="3">
                  <c:v>0.323632109036054</c:v>
                </c:pt>
                <c:pt idx="4">
                  <c:v>0.413061729974499</c:v>
                </c:pt>
              </c:numCache>
            </c:numRef>
          </c:val>
        </c:ser>
        <c:dLbls>
          <c:showLegendKey val="0"/>
          <c:showVal val="0"/>
          <c:showCatName val="0"/>
          <c:showSerName val="0"/>
          <c:showPercent val="0"/>
          <c:showBubbleSize val="0"/>
        </c:dLbls>
        <c:gapWidth val="150"/>
        <c:overlap val="100"/>
        <c:axId val="2103309160"/>
        <c:axId val="2103312216"/>
      </c:barChart>
      <c:catAx>
        <c:axId val="2103309160"/>
        <c:scaling>
          <c:orientation val="minMax"/>
        </c:scaling>
        <c:delete val="0"/>
        <c:axPos val="b"/>
        <c:numFmt formatCode="General" sourceLinked="1"/>
        <c:majorTickMark val="out"/>
        <c:minorTickMark val="none"/>
        <c:tickLblPos val="nextTo"/>
        <c:crossAx val="2103312216"/>
        <c:crosses val="autoZero"/>
        <c:auto val="1"/>
        <c:lblAlgn val="ctr"/>
        <c:lblOffset val="100"/>
        <c:noMultiLvlLbl val="0"/>
      </c:catAx>
      <c:valAx>
        <c:axId val="2103312216"/>
        <c:scaling>
          <c:orientation val="minMax"/>
        </c:scaling>
        <c:delete val="0"/>
        <c:axPos val="l"/>
        <c:majorGridlines/>
        <c:numFmt formatCode="0%" sourceLinked="1"/>
        <c:majorTickMark val="out"/>
        <c:minorTickMark val="none"/>
        <c:tickLblPos val="nextTo"/>
        <c:crossAx val="21033091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Sheet3!$B$3</c:f>
              <c:strCache>
                <c:ptCount val="1"/>
                <c:pt idx="0">
                  <c:v>Small business tax</c:v>
                </c:pt>
              </c:strCache>
            </c:strRef>
          </c:tx>
          <c:cat>
            <c:numRef>
              <c:f>Sheet3!$C$2:$G$2</c:f>
              <c:numCache>
                <c:formatCode>General</c:formatCode>
                <c:ptCount val="5"/>
                <c:pt idx="0">
                  <c:v>2008.0</c:v>
                </c:pt>
                <c:pt idx="1">
                  <c:v>2009.0</c:v>
                </c:pt>
                <c:pt idx="2">
                  <c:v>2010.0</c:v>
                </c:pt>
                <c:pt idx="3">
                  <c:v>2011.0</c:v>
                </c:pt>
                <c:pt idx="4">
                  <c:v>2012.0</c:v>
                </c:pt>
              </c:numCache>
            </c:numRef>
          </c:cat>
          <c:val>
            <c:numRef>
              <c:f>Sheet3!$C$3:$G$3</c:f>
              <c:numCache>
                <c:formatCode>_(* #,##0_);_(* \(#,##0\);_(* "-"??_);_(@_)</c:formatCode>
                <c:ptCount val="5"/>
                <c:pt idx="0">
                  <c:v>2.06735941E6</c:v>
                </c:pt>
                <c:pt idx="1">
                  <c:v>2.10279929E6</c:v>
                </c:pt>
                <c:pt idx="2">
                  <c:v>2.40941797E6</c:v>
                </c:pt>
                <c:pt idx="3">
                  <c:v>2.14627199E6</c:v>
                </c:pt>
                <c:pt idx="4">
                  <c:v>1.80631187E6</c:v>
                </c:pt>
              </c:numCache>
            </c:numRef>
          </c:val>
          <c:smooth val="0"/>
        </c:ser>
        <c:ser>
          <c:idx val="1"/>
          <c:order val="1"/>
          <c:tx>
            <c:strRef>
              <c:f>Sheet3!$B$4</c:f>
              <c:strCache>
                <c:ptCount val="1"/>
                <c:pt idx="0">
                  <c:v>Property taxes</c:v>
                </c:pt>
              </c:strCache>
            </c:strRef>
          </c:tx>
          <c:cat>
            <c:numRef>
              <c:f>Sheet3!$C$2:$G$2</c:f>
              <c:numCache>
                <c:formatCode>General</c:formatCode>
                <c:ptCount val="5"/>
                <c:pt idx="0">
                  <c:v>2008.0</c:v>
                </c:pt>
                <c:pt idx="1">
                  <c:v>2009.0</c:v>
                </c:pt>
                <c:pt idx="2">
                  <c:v>2010.0</c:v>
                </c:pt>
                <c:pt idx="3">
                  <c:v>2011.0</c:v>
                </c:pt>
                <c:pt idx="4">
                  <c:v>2012.0</c:v>
                </c:pt>
              </c:numCache>
            </c:numRef>
          </c:cat>
          <c:val>
            <c:numRef>
              <c:f>Sheet3!$C$4:$G$4</c:f>
              <c:numCache>
                <c:formatCode>_(* #,##0_);_(* \(#,##0\);_(* "-"??_);_(@_)</c:formatCode>
                <c:ptCount val="5"/>
                <c:pt idx="0">
                  <c:v>807857.7300000001</c:v>
                </c:pt>
                <c:pt idx="1">
                  <c:v>847746.91</c:v>
                </c:pt>
                <c:pt idx="2">
                  <c:v>1.09047201E6</c:v>
                </c:pt>
                <c:pt idx="3">
                  <c:v>1.12632983E6</c:v>
                </c:pt>
                <c:pt idx="4">
                  <c:v>1.0677362E6</c:v>
                </c:pt>
              </c:numCache>
            </c:numRef>
          </c:val>
          <c:smooth val="0"/>
        </c:ser>
        <c:ser>
          <c:idx val="2"/>
          <c:order val="2"/>
          <c:tx>
            <c:strRef>
              <c:f>Sheet3!$B$5</c:f>
              <c:strCache>
                <c:ptCount val="1"/>
                <c:pt idx="0">
                  <c:v>Infrastructure impact tax</c:v>
                </c:pt>
              </c:strCache>
            </c:strRef>
          </c:tx>
          <c:cat>
            <c:numRef>
              <c:f>Sheet3!$C$2:$G$2</c:f>
              <c:numCache>
                <c:formatCode>General</c:formatCode>
                <c:ptCount val="5"/>
                <c:pt idx="0">
                  <c:v>2008.0</c:v>
                </c:pt>
                <c:pt idx="1">
                  <c:v>2009.0</c:v>
                </c:pt>
                <c:pt idx="2">
                  <c:v>2010.0</c:v>
                </c:pt>
                <c:pt idx="3">
                  <c:v>2011.0</c:v>
                </c:pt>
                <c:pt idx="4">
                  <c:v>2012.0</c:v>
                </c:pt>
              </c:numCache>
            </c:numRef>
          </c:cat>
          <c:val>
            <c:numRef>
              <c:f>Sheet3!$C$5:$G$5</c:f>
              <c:numCache>
                <c:formatCode>_(* #,##0_);_(* \(#,##0\);_(* "-"??_);_(@_)</c:formatCode>
                <c:ptCount val="5"/>
                <c:pt idx="0">
                  <c:v>1.76155408E6</c:v>
                </c:pt>
                <c:pt idx="1">
                  <c:v>2.27181733E6</c:v>
                </c:pt>
                <c:pt idx="2">
                  <c:v>1.81582073E6</c:v>
                </c:pt>
                <c:pt idx="3">
                  <c:v>2.26647474E6</c:v>
                </c:pt>
                <c:pt idx="4">
                  <c:v>926964.5399999989</c:v>
                </c:pt>
              </c:numCache>
            </c:numRef>
          </c:val>
          <c:smooth val="0"/>
        </c:ser>
        <c:ser>
          <c:idx val="4"/>
          <c:order val="3"/>
          <c:tx>
            <c:strRef>
              <c:f>Sheet3!$B$7</c:f>
              <c:strCache>
                <c:ptCount val="1"/>
                <c:pt idx="0">
                  <c:v>Cleaning fee</c:v>
                </c:pt>
              </c:strCache>
            </c:strRef>
          </c:tx>
          <c:cat>
            <c:numRef>
              <c:f>Sheet3!$C$2:$G$2</c:f>
              <c:numCache>
                <c:formatCode>General</c:formatCode>
                <c:ptCount val="5"/>
                <c:pt idx="0">
                  <c:v>2008.0</c:v>
                </c:pt>
                <c:pt idx="1">
                  <c:v>2009.0</c:v>
                </c:pt>
                <c:pt idx="2">
                  <c:v>2010.0</c:v>
                </c:pt>
                <c:pt idx="3">
                  <c:v>2011.0</c:v>
                </c:pt>
                <c:pt idx="4">
                  <c:v>2012.0</c:v>
                </c:pt>
              </c:numCache>
            </c:numRef>
          </c:cat>
          <c:val>
            <c:numRef>
              <c:f>Sheet3!$C$7:$G$7</c:f>
              <c:numCache>
                <c:formatCode>_(* #,##0_);_(* \(#,##0\);_(* "-"??_);_(@_)</c:formatCode>
                <c:ptCount val="5"/>
                <c:pt idx="0">
                  <c:v>900394.6900000001</c:v>
                </c:pt>
                <c:pt idx="1">
                  <c:v>1.04990305E6</c:v>
                </c:pt>
                <c:pt idx="2">
                  <c:v>1.005476386E6</c:v>
                </c:pt>
                <c:pt idx="3">
                  <c:v>1.0582636E6</c:v>
                </c:pt>
                <c:pt idx="4">
                  <c:v>1.3241879E6</c:v>
                </c:pt>
              </c:numCache>
            </c:numRef>
          </c:val>
          <c:smooth val="0"/>
        </c:ser>
        <c:dLbls>
          <c:showLegendKey val="0"/>
          <c:showVal val="0"/>
          <c:showCatName val="0"/>
          <c:showSerName val="0"/>
          <c:showPercent val="0"/>
          <c:showBubbleSize val="0"/>
        </c:dLbls>
        <c:marker val="1"/>
        <c:smooth val="0"/>
        <c:axId val="2103337736"/>
        <c:axId val="2103340936"/>
      </c:lineChart>
      <c:catAx>
        <c:axId val="2103337736"/>
        <c:scaling>
          <c:orientation val="minMax"/>
        </c:scaling>
        <c:delete val="0"/>
        <c:axPos val="b"/>
        <c:numFmt formatCode="General" sourceLinked="1"/>
        <c:majorTickMark val="out"/>
        <c:minorTickMark val="none"/>
        <c:tickLblPos val="nextTo"/>
        <c:crossAx val="2103340936"/>
        <c:crosses val="autoZero"/>
        <c:auto val="1"/>
        <c:lblAlgn val="ctr"/>
        <c:lblOffset val="100"/>
        <c:noMultiLvlLbl val="0"/>
      </c:catAx>
      <c:valAx>
        <c:axId val="2103340936"/>
        <c:scaling>
          <c:orientation val="minMax"/>
        </c:scaling>
        <c:delete val="0"/>
        <c:axPos val="l"/>
        <c:majorGridlines/>
        <c:numFmt formatCode="_(* #,##0_);_(* \(#,##0\);_(* &quot;-&quot;??_);_(@_)" sourceLinked="1"/>
        <c:majorTickMark val="out"/>
        <c:minorTickMark val="none"/>
        <c:tickLblPos val="nextTo"/>
        <c:crossAx val="21033377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35</Pages>
  <Words>10717</Words>
  <Characters>61090</Characters>
  <Application>Microsoft Macintosh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 Karakaçi</dc:creator>
  <cp:lastModifiedBy>Andi Memi</cp:lastModifiedBy>
  <cp:revision>6</cp:revision>
  <cp:lastPrinted>2013-06-10T12:50:00Z</cp:lastPrinted>
  <dcterms:created xsi:type="dcterms:W3CDTF">2014-02-12T00:51:00Z</dcterms:created>
  <dcterms:modified xsi:type="dcterms:W3CDTF">2014-02-12T01:27:00Z</dcterms:modified>
</cp:coreProperties>
</file>